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686567" w:rsidRPr="00737FF6" w:rsidTr="00737FF6">
        <w:trPr>
          <w:trHeight w:val="899"/>
        </w:trPr>
        <w:tc>
          <w:tcPr>
            <w:tcW w:w="3067" w:type="dxa"/>
            <w:vAlign w:val="center"/>
          </w:tcPr>
          <w:p w:rsidR="00686567" w:rsidRPr="00737FF6" w:rsidRDefault="00686567" w:rsidP="00D97E4A">
            <w:pPr>
              <w:spacing w:before="120"/>
              <w:jc w:val="right"/>
              <w:rPr>
                <w:rFonts w:asciiTheme="minorHAnsi" w:hAnsiTheme="minorHAnsi"/>
                <w:color w:val="000000"/>
                <w:lang w:eastAsia="en-US"/>
              </w:rPr>
            </w:pPr>
          </w:p>
        </w:tc>
        <w:tc>
          <w:tcPr>
            <w:tcW w:w="2883" w:type="dxa"/>
            <w:vAlign w:val="center"/>
          </w:tcPr>
          <w:p w:rsidR="00686567" w:rsidRPr="00737FF6" w:rsidRDefault="00686567" w:rsidP="00D97E4A">
            <w:pPr>
              <w:spacing w:before="120"/>
              <w:contextualSpacing/>
              <w:jc w:val="right"/>
              <w:outlineLvl w:val="0"/>
              <w:rPr>
                <w:rFonts w:asciiTheme="minorHAnsi" w:hAnsiTheme="minorHAnsi"/>
                <w:b/>
                <w:bCs/>
                <w:color w:val="000000"/>
                <w:lang w:eastAsia="en-US"/>
              </w:rPr>
            </w:pPr>
          </w:p>
        </w:tc>
        <w:tc>
          <w:tcPr>
            <w:tcW w:w="3338" w:type="dxa"/>
            <w:vAlign w:val="center"/>
          </w:tcPr>
          <w:p w:rsidR="00686567" w:rsidRPr="00737FF6" w:rsidRDefault="00686567" w:rsidP="00D97E4A">
            <w:pPr>
              <w:spacing w:before="120"/>
              <w:jc w:val="right"/>
              <w:rPr>
                <w:rFonts w:asciiTheme="minorHAnsi" w:hAnsiTheme="minorHAnsi"/>
                <w:color w:val="000000"/>
                <w:lang w:eastAsia="en-US"/>
              </w:rPr>
            </w:pPr>
          </w:p>
        </w:tc>
      </w:tr>
    </w:tbl>
    <w:p w:rsidR="00D97E4A" w:rsidRPr="00737FF6" w:rsidRDefault="00D97E4A" w:rsidP="00D97E4A">
      <w:pPr>
        <w:tabs>
          <w:tab w:val="left" w:pos="4678"/>
        </w:tabs>
        <w:jc w:val="right"/>
        <w:rPr>
          <w:rFonts w:asciiTheme="minorHAnsi" w:hAnsiTheme="minorHAnsi" w:cs="Arial"/>
          <w:lang w:eastAsia="ko-KR"/>
        </w:rPr>
      </w:pP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 xml:space="preserve">Załącznik nr </w:t>
      </w:r>
      <w:r w:rsidR="00BD1C7E">
        <w:rPr>
          <w:rFonts w:asciiTheme="minorHAnsi" w:hAnsiTheme="minorHAnsi" w:cs="Arial"/>
          <w:lang w:eastAsia="ko-KR"/>
        </w:rPr>
        <w:t xml:space="preserve">15.1 </w:t>
      </w:r>
      <w:r w:rsidRPr="00737FF6">
        <w:rPr>
          <w:rFonts w:asciiTheme="minorHAnsi" w:hAnsiTheme="minorHAnsi" w:cs="Arial"/>
          <w:lang w:eastAsia="ko-KR"/>
        </w:rPr>
        <w:t xml:space="preserve">do </w:t>
      </w:r>
      <w:r w:rsidR="00557744" w:rsidRPr="00737FF6">
        <w:rPr>
          <w:rFonts w:asciiTheme="minorHAnsi" w:hAnsiTheme="minorHAnsi" w:cs="Arial"/>
          <w:lang w:eastAsia="ko-KR"/>
        </w:rPr>
        <w:t>Umowy o dofinansowanie</w:t>
      </w:r>
      <w:r w:rsidRPr="00737FF6">
        <w:rPr>
          <w:rFonts w:asciiTheme="minorHAnsi" w:hAnsiTheme="minorHAnsi" w:cs="Arial"/>
          <w:lang w:eastAsia="ko-KR"/>
        </w:rPr>
        <w:t xml:space="preserve"> </w:t>
      </w:r>
    </w:p>
    <w:p w:rsidR="00D97E4A" w:rsidRPr="00737FF6" w:rsidRDefault="00B55FA2" w:rsidP="00D97E4A">
      <w:pPr>
        <w:tabs>
          <w:tab w:val="left" w:pos="4678"/>
        </w:tabs>
        <w:jc w:val="right"/>
        <w:rPr>
          <w:rFonts w:asciiTheme="minorHAnsi" w:hAnsiTheme="minorHAnsi" w:cs="Arial"/>
          <w:lang w:eastAsia="ko-KR"/>
        </w:rPr>
      </w:pPr>
      <w:r w:rsidRPr="00737FF6">
        <w:rPr>
          <w:rFonts w:asciiTheme="minorHAnsi" w:hAnsiTheme="minorHAnsi" w:cs="Arial"/>
          <w:lang w:eastAsia="ko-KR"/>
        </w:rPr>
        <w:t>nr RPWM.01.</w:t>
      </w:r>
      <w:r w:rsidR="00CD7439" w:rsidRPr="00737FF6">
        <w:rPr>
          <w:rFonts w:asciiTheme="minorHAnsi" w:hAnsiTheme="minorHAnsi" w:cs="Arial"/>
          <w:lang w:eastAsia="ko-KR"/>
        </w:rPr>
        <w:t>0</w:t>
      </w:r>
      <w:r w:rsidR="009E238B">
        <w:rPr>
          <w:rFonts w:asciiTheme="minorHAnsi" w:hAnsiTheme="minorHAnsi" w:cs="Arial"/>
          <w:lang w:eastAsia="ko-KR"/>
        </w:rPr>
        <w:t>4</w:t>
      </w:r>
      <w:r w:rsidRPr="00737FF6">
        <w:rPr>
          <w:rFonts w:asciiTheme="minorHAnsi" w:hAnsiTheme="minorHAnsi" w:cs="Arial"/>
          <w:lang w:eastAsia="ko-KR"/>
        </w:rPr>
        <w:t>.0</w:t>
      </w:r>
      <w:r w:rsidR="009E238B">
        <w:rPr>
          <w:rFonts w:asciiTheme="minorHAnsi" w:hAnsiTheme="minorHAnsi" w:cs="Arial"/>
          <w:lang w:eastAsia="ko-KR"/>
        </w:rPr>
        <w:t>2</w:t>
      </w:r>
      <w:r w:rsidR="00D97E4A" w:rsidRPr="00737FF6">
        <w:rPr>
          <w:rFonts w:asciiTheme="minorHAnsi" w:hAnsiTheme="minorHAnsi" w:cs="Arial"/>
          <w:lang w:eastAsia="ko-KR"/>
        </w:rPr>
        <w:t>-I</w:t>
      </w:r>
      <w:r w:rsidR="00CD7439">
        <w:rPr>
          <w:rFonts w:asciiTheme="minorHAnsi" w:hAnsiTheme="minorHAnsi" w:cs="Arial"/>
          <w:lang w:eastAsia="ko-KR"/>
        </w:rPr>
        <w:t>P</w:t>
      </w:r>
      <w:r w:rsidR="003F55CA">
        <w:rPr>
          <w:rFonts w:asciiTheme="minorHAnsi" w:hAnsiTheme="minorHAnsi" w:cs="Arial"/>
          <w:lang w:eastAsia="ko-KR"/>
        </w:rPr>
        <w:t>.</w:t>
      </w:r>
      <w:r w:rsidR="00D97E4A" w:rsidRPr="00737FF6">
        <w:rPr>
          <w:rFonts w:asciiTheme="minorHAnsi" w:hAnsiTheme="minorHAnsi" w:cs="Arial"/>
          <w:lang w:eastAsia="ko-KR"/>
        </w:rPr>
        <w:t>0</w:t>
      </w:r>
      <w:r w:rsidR="00CD7439">
        <w:rPr>
          <w:rFonts w:asciiTheme="minorHAnsi" w:hAnsiTheme="minorHAnsi" w:cs="Arial"/>
          <w:lang w:eastAsia="ko-KR"/>
        </w:rPr>
        <w:t>3</w:t>
      </w:r>
      <w:r w:rsidR="00D97E4A" w:rsidRPr="00737FF6">
        <w:rPr>
          <w:rFonts w:asciiTheme="minorHAnsi" w:hAnsiTheme="minorHAnsi" w:cs="Arial"/>
          <w:lang w:eastAsia="ko-KR"/>
        </w:rPr>
        <w:t>-28-00</w:t>
      </w:r>
      <w:r w:rsidR="00CD7439">
        <w:rPr>
          <w:rFonts w:asciiTheme="minorHAnsi" w:hAnsiTheme="minorHAnsi" w:cs="Arial"/>
          <w:lang w:eastAsia="ko-KR"/>
        </w:rPr>
        <w:t>1</w:t>
      </w:r>
      <w:r w:rsidR="00D97E4A" w:rsidRPr="00737FF6">
        <w:rPr>
          <w:rFonts w:asciiTheme="minorHAnsi" w:hAnsiTheme="minorHAnsi" w:cs="Arial"/>
          <w:lang w:eastAsia="ko-KR"/>
        </w:rPr>
        <w:t>/1</w:t>
      </w:r>
      <w:r w:rsidR="00CD7439">
        <w:rPr>
          <w:rFonts w:asciiTheme="minorHAnsi" w:hAnsiTheme="minorHAnsi" w:cs="Arial"/>
          <w:lang w:eastAsia="ko-KR"/>
        </w:rPr>
        <w:t>8</w:t>
      </w: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z</w:t>
      </w:r>
      <w:r w:rsidR="00BD1C7E">
        <w:rPr>
          <w:rFonts w:asciiTheme="minorHAnsi" w:hAnsiTheme="minorHAnsi" w:cs="Arial"/>
          <w:lang w:eastAsia="ko-KR"/>
        </w:rPr>
        <w:t xml:space="preserve">   23</w:t>
      </w:r>
      <w:r w:rsidR="003F55CA">
        <w:rPr>
          <w:rFonts w:asciiTheme="minorHAnsi" w:hAnsiTheme="minorHAnsi" w:cs="Arial"/>
          <w:lang w:eastAsia="ko-KR"/>
        </w:rPr>
        <w:t>.0</w:t>
      </w:r>
      <w:r w:rsidR="009E238B">
        <w:rPr>
          <w:rFonts w:asciiTheme="minorHAnsi" w:hAnsiTheme="minorHAnsi" w:cs="Arial"/>
          <w:lang w:eastAsia="ko-KR"/>
        </w:rPr>
        <w:t>3</w:t>
      </w:r>
      <w:r w:rsidR="003F55CA">
        <w:rPr>
          <w:rFonts w:asciiTheme="minorHAnsi" w:hAnsiTheme="minorHAnsi" w:cs="Arial"/>
          <w:lang w:eastAsia="ko-KR"/>
        </w:rPr>
        <w:t>.</w:t>
      </w:r>
      <w:r w:rsidRPr="00737FF6">
        <w:rPr>
          <w:rFonts w:asciiTheme="minorHAnsi" w:hAnsiTheme="minorHAnsi" w:cs="Arial"/>
          <w:lang w:eastAsia="ko-KR"/>
        </w:rPr>
        <w:t>201</w:t>
      </w:r>
      <w:r w:rsidR="00CD7439">
        <w:rPr>
          <w:rFonts w:asciiTheme="minorHAnsi" w:hAnsiTheme="minorHAnsi" w:cs="Arial"/>
          <w:lang w:eastAsia="ko-KR"/>
        </w:rPr>
        <w:t>8</w:t>
      </w:r>
      <w:r w:rsidRPr="00737FF6">
        <w:rPr>
          <w:rFonts w:asciiTheme="minorHAnsi" w:hAnsiTheme="minorHAnsi" w:cs="Arial"/>
          <w:lang w:eastAsia="ko-KR"/>
        </w:rPr>
        <w:t xml:space="preserve"> r.</w:t>
      </w:r>
    </w:p>
    <w:p w:rsidR="000426C4" w:rsidRPr="00737FF6" w:rsidRDefault="000426C4" w:rsidP="00D97E4A">
      <w:pPr>
        <w:tabs>
          <w:tab w:val="left" w:pos="4678"/>
        </w:tabs>
        <w:jc w:val="right"/>
        <w:rPr>
          <w:rFonts w:asciiTheme="minorHAnsi" w:hAnsiTheme="minorHAnsi" w:cs="Arial"/>
          <w:lang w:eastAsia="ko-KR"/>
        </w:rPr>
      </w:pPr>
    </w:p>
    <w:p w:rsidR="000426C4" w:rsidRPr="00737FF6" w:rsidRDefault="000426C4" w:rsidP="000426C4">
      <w:pPr>
        <w:tabs>
          <w:tab w:val="left" w:pos="4678"/>
        </w:tabs>
        <w:jc w:val="right"/>
        <w:rPr>
          <w:rFonts w:asciiTheme="minorHAnsi" w:hAnsiTheme="minorHAnsi" w:cs="Arial"/>
          <w:lang w:eastAsia="ko-KR"/>
        </w:rPr>
      </w:pPr>
    </w:p>
    <w:p w:rsidR="00A4474B" w:rsidRPr="00737FF6" w:rsidRDefault="00A4474B" w:rsidP="000426C4">
      <w:pPr>
        <w:tabs>
          <w:tab w:val="left" w:pos="4678"/>
        </w:tabs>
        <w:jc w:val="right"/>
        <w:rPr>
          <w:rFonts w:asciiTheme="minorHAnsi" w:hAnsiTheme="minorHAnsi" w:cs="Arial"/>
          <w:lang w:eastAsia="ko-KR"/>
        </w:rPr>
      </w:pPr>
      <w:bookmarkStart w:id="0" w:name="_GoBack"/>
      <w:bookmarkEnd w:id="0"/>
    </w:p>
    <w:tbl>
      <w:tblPr>
        <w:tblW w:w="14920" w:type="dxa"/>
        <w:tblLook w:val="04A0" w:firstRow="1" w:lastRow="0" w:firstColumn="1" w:lastColumn="0" w:noHBand="0" w:noVBand="1"/>
      </w:tblPr>
      <w:tblGrid>
        <w:gridCol w:w="10031"/>
        <w:gridCol w:w="4889"/>
      </w:tblGrid>
      <w:tr w:rsidR="00686567" w:rsidRPr="00737FF6" w:rsidTr="000426C4">
        <w:tc>
          <w:tcPr>
            <w:tcW w:w="10031" w:type="dxa"/>
          </w:tcPr>
          <w:p w:rsidR="00686567" w:rsidRPr="00737FF6" w:rsidRDefault="00686567" w:rsidP="000426C4">
            <w:pPr>
              <w:tabs>
                <w:tab w:val="left" w:pos="5446"/>
              </w:tabs>
              <w:spacing w:before="120"/>
              <w:jc w:val="right"/>
              <w:rPr>
                <w:rFonts w:asciiTheme="minorHAnsi" w:hAnsiTheme="minorHAnsi" w:cs="Arial"/>
              </w:rPr>
            </w:pPr>
          </w:p>
        </w:tc>
        <w:tc>
          <w:tcPr>
            <w:tcW w:w="4889" w:type="dxa"/>
          </w:tcPr>
          <w:p w:rsidR="00686567" w:rsidRPr="00737FF6" w:rsidRDefault="00686567">
            <w:pPr>
              <w:jc w:val="right"/>
              <w:rPr>
                <w:rFonts w:asciiTheme="minorHAnsi" w:hAnsiTheme="minorHAnsi" w:cs="Arial"/>
              </w:rPr>
            </w:pPr>
          </w:p>
        </w:tc>
      </w:tr>
    </w:tbl>
    <w:p w:rsidR="00A4474B" w:rsidRPr="00737FF6" w:rsidRDefault="00A4474B" w:rsidP="00BC07A1">
      <w:pPr>
        <w:pStyle w:val="Nagwek1"/>
        <w:jc w:val="center"/>
        <w:rPr>
          <w:rFonts w:asciiTheme="minorHAnsi" w:hAnsiTheme="minorHAnsi"/>
          <w:noProof/>
          <w:sz w:val="24"/>
          <w:szCs w:val="24"/>
        </w:rPr>
      </w:pPr>
      <w:bookmarkStart w:id="1" w:name="_Toc447795748"/>
      <w:bookmarkStart w:id="2" w:name="_Toc442773372"/>
    </w:p>
    <w:p w:rsidR="00A4474B" w:rsidRPr="00737FF6" w:rsidRDefault="00A4474B" w:rsidP="00BC07A1">
      <w:pPr>
        <w:pStyle w:val="Nagwek1"/>
        <w:jc w:val="center"/>
        <w:rPr>
          <w:rFonts w:asciiTheme="minorHAnsi" w:hAnsiTheme="minorHAnsi"/>
          <w:noProof/>
          <w:sz w:val="24"/>
          <w:szCs w:val="24"/>
        </w:rPr>
      </w:pPr>
    </w:p>
    <w:p w:rsidR="004D17AD"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Zasady kwalifikowalności wydatków </w:t>
      </w:r>
      <w:r w:rsidR="00A4474B" w:rsidRPr="00737FF6">
        <w:rPr>
          <w:rFonts w:asciiTheme="minorHAnsi" w:hAnsiTheme="minorHAnsi"/>
          <w:noProof/>
          <w:sz w:val="40"/>
          <w:szCs w:val="24"/>
        </w:rPr>
        <w:br/>
      </w:r>
      <w:r w:rsidRPr="00737FF6">
        <w:rPr>
          <w:rFonts w:asciiTheme="minorHAnsi" w:hAnsiTheme="minorHAnsi"/>
          <w:noProof/>
          <w:sz w:val="40"/>
          <w:szCs w:val="24"/>
        </w:rPr>
        <w:t xml:space="preserve">w ramach </w:t>
      </w:r>
      <w:r w:rsidR="00A4474B" w:rsidRPr="00737FF6">
        <w:rPr>
          <w:rFonts w:asciiTheme="minorHAnsi" w:hAnsiTheme="minorHAnsi"/>
          <w:noProof/>
          <w:sz w:val="40"/>
          <w:szCs w:val="24"/>
        </w:rPr>
        <w:br/>
      </w:r>
      <w:r w:rsidRPr="00737FF6">
        <w:rPr>
          <w:rFonts w:asciiTheme="minorHAnsi" w:hAnsiTheme="minorHAnsi"/>
          <w:noProof/>
          <w:sz w:val="40"/>
          <w:szCs w:val="24"/>
        </w:rPr>
        <w:t xml:space="preserve">Osi Priorytetowej 1 Inteligentna gospodarka </w:t>
      </w:r>
      <w:r w:rsidR="00A4474B" w:rsidRPr="00737FF6">
        <w:rPr>
          <w:rFonts w:asciiTheme="minorHAnsi" w:hAnsiTheme="minorHAnsi"/>
          <w:noProof/>
          <w:sz w:val="40"/>
          <w:szCs w:val="24"/>
        </w:rPr>
        <w:br/>
      </w:r>
      <w:r w:rsidRPr="00737FF6">
        <w:rPr>
          <w:rFonts w:asciiTheme="minorHAnsi" w:hAnsiTheme="minorHAnsi"/>
          <w:noProof/>
          <w:sz w:val="40"/>
          <w:szCs w:val="24"/>
        </w:rPr>
        <w:t xml:space="preserve">Warmii i Mazur </w:t>
      </w:r>
      <w:r w:rsidR="00A4474B" w:rsidRPr="00737FF6">
        <w:rPr>
          <w:rFonts w:asciiTheme="minorHAnsi" w:hAnsiTheme="minorHAnsi"/>
          <w:noProof/>
          <w:sz w:val="40"/>
          <w:szCs w:val="24"/>
        </w:rPr>
        <w:br/>
      </w:r>
      <w:r w:rsidRPr="00737FF6">
        <w:rPr>
          <w:rFonts w:asciiTheme="minorHAnsi" w:hAnsiTheme="minorHAnsi"/>
          <w:noProof/>
          <w:sz w:val="40"/>
          <w:szCs w:val="24"/>
        </w:rPr>
        <w:t xml:space="preserve">Działania </w:t>
      </w:r>
      <w:r w:rsidR="004D17AD" w:rsidRPr="00737FF6">
        <w:rPr>
          <w:rFonts w:asciiTheme="minorHAnsi" w:hAnsiTheme="minorHAnsi"/>
          <w:noProof/>
          <w:sz w:val="40"/>
          <w:szCs w:val="24"/>
        </w:rPr>
        <w:t>1.</w:t>
      </w:r>
      <w:r w:rsidR="009E238B">
        <w:rPr>
          <w:rFonts w:asciiTheme="minorHAnsi" w:hAnsiTheme="minorHAnsi"/>
          <w:noProof/>
          <w:sz w:val="40"/>
          <w:szCs w:val="24"/>
        </w:rPr>
        <w:t>4</w:t>
      </w:r>
      <w:r w:rsidR="00CD7439" w:rsidRPr="00737FF6">
        <w:rPr>
          <w:rFonts w:asciiTheme="minorHAnsi" w:hAnsiTheme="minorHAnsi"/>
          <w:noProof/>
          <w:sz w:val="40"/>
          <w:szCs w:val="24"/>
        </w:rPr>
        <w:t xml:space="preserve"> </w:t>
      </w:r>
      <w:r w:rsidR="009E238B">
        <w:rPr>
          <w:rFonts w:asciiTheme="minorHAnsi" w:hAnsiTheme="minorHAnsi"/>
          <w:noProof/>
          <w:sz w:val="40"/>
          <w:szCs w:val="24"/>
        </w:rPr>
        <w:t>Nowe modele biznesowe i ekspansja</w:t>
      </w:r>
    </w:p>
    <w:p w:rsidR="00686567"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Poddziałania </w:t>
      </w:r>
      <w:r w:rsidR="004D17AD" w:rsidRPr="00737FF6">
        <w:rPr>
          <w:rFonts w:asciiTheme="minorHAnsi" w:hAnsiTheme="minorHAnsi"/>
          <w:noProof/>
          <w:sz w:val="40"/>
          <w:szCs w:val="24"/>
        </w:rPr>
        <w:t>1.</w:t>
      </w:r>
      <w:r w:rsidR="009E238B">
        <w:rPr>
          <w:rFonts w:asciiTheme="minorHAnsi" w:hAnsiTheme="minorHAnsi"/>
          <w:noProof/>
          <w:sz w:val="40"/>
          <w:szCs w:val="24"/>
        </w:rPr>
        <w:t>4</w:t>
      </w:r>
      <w:r w:rsidR="004D17AD" w:rsidRPr="00737FF6">
        <w:rPr>
          <w:rFonts w:asciiTheme="minorHAnsi" w:hAnsiTheme="minorHAnsi"/>
          <w:noProof/>
          <w:sz w:val="40"/>
          <w:szCs w:val="24"/>
        </w:rPr>
        <w:t>.</w:t>
      </w:r>
      <w:r w:rsidR="009E238B">
        <w:rPr>
          <w:rFonts w:asciiTheme="minorHAnsi" w:hAnsiTheme="minorHAnsi"/>
          <w:noProof/>
          <w:sz w:val="40"/>
          <w:szCs w:val="24"/>
        </w:rPr>
        <w:t>2</w:t>
      </w:r>
      <w:r w:rsidR="00CD7439" w:rsidRPr="00737FF6">
        <w:rPr>
          <w:rFonts w:asciiTheme="minorHAnsi" w:hAnsiTheme="minorHAnsi"/>
          <w:noProof/>
          <w:sz w:val="40"/>
          <w:szCs w:val="24"/>
        </w:rPr>
        <w:t xml:space="preserve"> </w:t>
      </w:r>
      <w:r w:rsidR="009E238B">
        <w:rPr>
          <w:rFonts w:asciiTheme="minorHAnsi" w:hAnsiTheme="minorHAnsi"/>
          <w:noProof/>
          <w:sz w:val="40"/>
          <w:szCs w:val="24"/>
        </w:rPr>
        <w:t xml:space="preserve">Pakietowanie produktów i usług – Schemat </w:t>
      </w:r>
      <w:r w:rsidR="006E4B71">
        <w:rPr>
          <w:rFonts w:asciiTheme="minorHAnsi" w:hAnsiTheme="minorHAnsi"/>
          <w:noProof/>
          <w:sz w:val="40"/>
          <w:szCs w:val="24"/>
        </w:rPr>
        <w:t>B</w:t>
      </w:r>
    </w:p>
    <w:p w:rsidR="00A4474B" w:rsidRPr="00737FF6" w:rsidRDefault="00A4474B" w:rsidP="00A4474B">
      <w:pPr>
        <w:rPr>
          <w:rFonts w:asciiTheme="minorHAnsi" w:hAnsiTheme="minorHAnsi"/>
        </w:rPr>
      </w:pPr>
    </w:p>
    <w:p w:rsidR="00A4474B" w:rsidRPr="00737FF6" w:rsidRDefault="00A4474B" w:rsidP="00A4474B">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jc w:val="center"/>
        <w:rPr>
          <w:rFonts w:asciiTheme="minorHAnsi" w:hAnsiTheme="minorHAnsi"/>
          <w:sz w:val="40"/>
        </w:rPr>
      </w:pPr>
      <w:r w:rsidRPr="00737FF6">
        <w:rPr>
          <w:rFonts w:asciiTheme="minorHAnsi" w:hAnsiTheme="minorHAnsi"/>
          <w:sz w:val="40"/>
        </w:rPr>
        <w:t xml:space="preserve">Regionalnego Programu Operacyjnego </w:t>
      </w:r>
      <w:r w:rsidR="00A4474B" w:rsidRPr="00737FF6">
        <w:rPr>
          <w:rFonts w:asciiTheme="minorHAnsi" w:hAnsiTheme="minorHAnsi"/>
          <w:sz w:val="40"/>
        </w:rPr>
        <w:br/>
      </w:r>
      <w:r w:rsidRPr="00737FF6">
        <w:rPr>
          <w:rFonts w:asciiTheme="minorHAnsi" w:hAnsiTheme="minorHAnsi"/>
          <w:sz w:val="40"/>
        </w:rPr>
        <w:t xml:space="preserve">Województwa Warmińsko-Mazurskiego </w:t>
      </w:r>
      <w:r w:rsidR="00A4474B" w:rsidRPr="00737FF6">
        <w:rPr>
          <w:rFonts w:asciiTheme="minorHAnsi" w:hAnsiTheme="minorHAnsi"/>
          <w:sz w:val="40"/>
        </w:rPr>
        <w:br/>
      </w:r>
      <w:r w:rsidRPr="00737FF6">
        <w:rPr>
          <w:rFonts w:asciiTheme="minorHAnsi" w:hAnsiTheme="minorHAnsi"/>
          <w:sz w:val="40"/>
        </w:rPr>
        <w:t xml:space="preserve">na lata 2014-2020 w zakresie </w:t>
      </w:r>
      <w:r w:rsidR="00A4474B" w:rsidRPr="00737FF6">
        <w:rPr>
          <w:rFonts w:asciiTheme="minorHAnsi" w:hAnsiTheme="minorHAnsi"/>
          <w:sz w:val="40"/>
        </w:rPr>
        <w:br/>
      </w:r>
      <w:r w:rsidRPr="00737FF6">
        <w:rPr>
          <w:rFonts w:asciiTheme="minorHAnsi" w:hAnsiTheme="minorHAnsi"/>
          <w:sz w:val="40"/>
        </w:rPr>
        <w:t>Europ</w:t>
      </w:r>
      <w:r w:rsidR="00A4474B" w:rsidRPr="00737FF6">
        <w:rPr>
          <w:rFonts w:asciiTheme="minorHAnsi" w:hAnsiTheme="minorHAnsi"/>
          <w:sz w:val="40"/>
        </w:rPr>
        <w:t>e</w:t>
      </w:r>
      <w:r w:rsidRPr="00737FF6">
        <w:rPr>
          <w:rFonts w:asciiTheme="minorHAnsi" w:hAnsiTheme="minorHAnsi"/>
          <w:sz w:val="40"/>
        </w:rPr>
        <w:t>jskiego Funduszu Rozwoju Regionalnego</w:t>
      </w: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737FF6" w:rsidRPr="00737FF6" w:rsidRDefault="00737FF6" w:rsidP="00BC07A1">
      <w:pPr>
        <w:rPr>
          <w:rFonts w:asciiTheme="minorHAnsi" w:hAnsiTheme="minorHAnsi"/>
        </w:rPr>
      </w:pPr>
    </w:p>
    <w:p w:rsidR="00737FF6" w:rsidRPr="00737FF6" w:rsidRDefault="00737FF6"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BC07A1" w:rsidRDefault="00BC07A1" w:rsidP="00BC07A1">
      <w:pPr>
        <w:rPr>
          <w:rFonts w:asciiTheme="minorHAnsi" w:hAnsiTheme="minorHAnsi"/>
        </w:rPr>
      </w:pPr>
    </w:p>
    <w:p w:rsidR="00E75A43" w:rsidRPr="00737FF6" w:rsidRDefault="00E75A43" w:rsidP="00BC07A1">
      <w:pPr>
        <w:rPr>
          <w:rFonts w:asciiTheme="minorHAnsi" w:hAnsiTheme="minorHAnsi"/>
        </w:rPr>
      </w:pPr>
    </w:p>
    <w:p w:rsidR="00686567" w:rsidRDefault="00557744" w:rsidP="00737FF6">
      <w:pPr>
        <w:pStyle w:val="Nagwek1"/>
        <w:rPr>
          <w:rFonts w:asciiTheme="minorHAnsi" w:hAnsiTheme="minorHAnsi"/>
          <w:noProof/>
          <w:sz w:val="24"/>
          <w:szCs w:val="24"/>
        </w:rPr>
      </w:pPr>
      <w:r w:rsidRPr="00737FF6">
        <w:rPr>
          <w:rFonts w:asciiTheme="minorHAnsi" w:hAnsiTheme="minorHAnsi"/>
          <w:noProof/>
          <w:sz w:val="24"/>
          <w:szCs w:val="24"/>
        </w:rPr>
        <w:t>Projekty muszą być realizowane zgodnie z następującymi zasadami:</w:t>
      </w:r>
      <w:bookmarkStart w:id="3" w:name="_Toc447795750"/>
      <w:bookmarkEnd w:id="1"/>
    </w:p>
    <w:p w:rsidR="00737FF6" w:rsidRPr="00737FF6" w:rsidRDefault="00737FF6" w:rsidP="00737FF6"/>
    <w:bookmarkEnd w:id="2"/>
    <w:bookmarkEnd w:id="3"/>
    <w:p w:rsidR="00737FF6" w:rsidRPr="00737FF6" w:rsidRDefault="00737FF6" w:rsidP="00737FF6">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737FF6" w:rsidRPr="00737FF6" w:rsidRDefault="00737FF6" w:rsidP="00737FF6">
      <w:pPr>
        <w:pStyle w:val="Akapitzlist"/>
        <w:spacing w:after="160" w:line="259" w:lineRule="auto"/>
        <w:ind w:left="993"/>
        <w:jc w:val="both"/>
        <w:rPr>
          <w:rFonts w:asciiTheme="minorHAnsi" w:hAnsiTheme="minorHAnsi"/>
          <w:iCs/>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1514A9" w:rsidRPr="00A8769F" w:rsidRDefault="001514A9" w:rsidP="001514A9">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C36FC6">
        <w:rPr>
          <w:rFonts w:asciiTheme="minorHAnsi" w:hAnsiTheme="minorHAnsi"/>
          <w:sz w:val="22"/>
          <w:szCs w:val="22"/>
        </w:rPr>
        <w:t xml:space="preserve">Rozporządzenie Ministra Infrastruktury i Rozwoju z dnia 3 września 2015 r. w sprawie udzielania regionalnej pomocy </w:t>
      </w:r>
      <w:r w:rsidRPr="00A8769F">
        <w:rPr>
          <w:rFonts w:asciiTheme="minorHAnsi" w:hAnsiTheme="minorHAnsi"/>
          <w:sz w:val="22"/>
          <w:szCs w:val="22"/>
        </w:rPr>
        <w:t xml:space="preserve">inwestycyjnej w ramach celu tematycznego 3 w zakresie wzmacniania konkurencyjności mikroprzedsiębiorców, małych i średnich przedsiębiorców w ramach regionalnych programów operacyjnych na lata 2014-2020 (Dz.U. 2015 poz. 1377, z </w:t>
      </w:r>
      <w:proofErr w:type="spellStart"/>
      <w:r w:rsidRPr="00A8769F">
        <w:rPr>
          <w:rFonts w:asciiTheme="minorHAnsi" w:hAnsiTheme="minorHAnsi"/>
          <w:sz w:val="22"/>
          <w:szCs w:val="22"/>
        </w:rPr>
        <w:t>późn</w:t>
      </w:r>
      <w:proofErr w:type="spellEnd"/>
      <w:r w:rsidRPr="00A8769F">
        <w:rPr>
          <w:rFonts w:asciiTheme="minorHAnsi" w:hAnsiTheme="minorHAnsi"/>
          <w:sz w:val="22"/>
          <w:szCs w:val="22"/>
        </w:rPr>
        <w:t xml:space="preserve">. </w:t>
      </w:r>
      <w:proofErr w:type="spellStart"/>
      <w:r w:rsidRPr="00A8769F">
        <w:rPr>
          <w:rFonts w:asciiTheme="minorHAnsi" w:hAnsiTheme="minorHAnsi"/>
          <w:sz w:val="22"/>
          <w:szCs w:val="22"/>
        </w:rPr>
        <w:t>zm</w:t>
      </w:r>
      <w:proofErr w:type="spellEnd"/>
      <w:r w:rsidRPr="00A8769F">
        <w:rPr>
          <w:rFonts w:asciiTheme="minorHAnsi" w:hAnsiTheme="minorHAnsi"/>
          <w:sz w:val="22"/>
          <w:szCs w:val="22"/>
        </w:rPr>
        <w:t>)</w:t>
      </w:r>
      <w:r w:rsidR="00C36FC6" w:rsidRPr="00A8769F">
        <w:rPr>
          <w:rFonts w:asciiTheme="minorHAnsi" w:hAnsiTheme="minorHAnsi"/>
          <w:sz w:val="22"/>
          <w:szCs w:val="22"/>
        </w:rPr>
        <w:t xml:space="preserve">, </w:t>
      </w:r>
      <w:r w:rsidR="00DC1E02" w:rsidRPr="00A8769F">
        <w:rPr>
          <w:rFonts w:asciiTheme="minorHAnsi" w:hAnsiTheme="minorHAnsi"/>
          <w:sz w:val="22"/>
          <w:szCs w:val="22"/>
        </w:rPr>
        <w:t xml:space="preserve"> </w:t>
      </w:r>
      <w:r w:rsidRPr="00C36FC6">
        <w:rPr>
          <w:rFonts w:asciiTheme="minorHAnsi" w:hAnsiTheme="minorHAnsi"/>
          <w:sz w:val="22"/>
          <w:szCs w:val="22"/>
        </w:rPr>
        <w:t xml:space="preserve">stosuje się jedynie do pomocy która wywołuje efekt zachęty. </w:t>
      </w:r>
    </w:p>
    <w:p w:rsidR="001514A9" w:rsidRPr="00A8769F" w:rsidRDefault="009E238B" w:rsidP="001514A9">
      <w:pPr>
        <w:pStyle w:val="Teksttreci0"/>
        <w:shd w:val="clear" w:color="auto" w:fill="auto"/>
        <w:spacing w:before="0" w:line="293" w:lineRule="exact"/>
        <w:ind w:left="720" w:right="40" w:firstLine="0"/>
        <w:jc w:val="both"/>
        <w:rPr>
          <w:rFonts w:asciiTheme="minorHAnsi" w:hAnsiTheme="minorHAnsi"/>
          <w:sz w:val="22"/>
          <w:szCs w:val="22"/>
        </w:rPr>
      </w:pPr>
      <w:r>
        <w:rPr>
          <w:rFonts w:asciiTheme="minorHAnsi" w:hAnsiTheme="minorHAnsi"/>
          <w:sz w:val="22"/>
          <w:szCs w:val="22"/>
        </w:rPr>
        <w:t xml:space="preserve">Pomoc </w:t>
      </w:r>
      <w:proofErr w:type="spellStart"/>
      <w:r>
        <w:rPr>
          <w:rFonts w:asciiTheme="minorHAnsi" w:hAnsiTheme="minorHAnsi"/>
          <w:sz w:val="22"/>
          <w:szCs w:val="22"/>
        </w:rPr>
        <w:t>mikroprzedsię</w:t>
      </w:r>
      <w:r w:rsidR="001514A9" w:rsidRPr="00A8769F">
        <w:rPr>
          <w:rFonts w:asciiTheme="minorHAnsi" w:hAnsiTheme="minorHAnsi"/>
          <w:sz w:val="22"/>
          <w:szCs w:val="22"/>
        </w:rPr>
        <w:t>biorcom</w:t>
      </w:r>
      <w:proofErr w:type="spellEnd"/>
      <w:r w:rsidR="001514A9" w:rsidRPr="00A8769F">
        <w:rPr>
          <w:rFonts w:asciiTheme="minorHAnsi" w:hAnsiTheme="minorHAnsi"/>
          <w:sz w:val="22"/>
          <w:szCs w:val="22"/>
        </w:rPr>
        <w:t xml:space="preserve">, małym i średnim przedsiębiorcom może zostać udzielona pod warunkiem, że prace nad realizacją projektu nie rozpoczną się przed złożeniem wniosku </w:t>
      </w:r>
      <w:r w:rsidR="001514A9" w:rsidRPr="00A8769F">
        <w:rPr>
          <w:rFonts w:asciiTheme="minorHAnsi" w:hAnsiTheme="minorHAnsi"/>
          <w:sz w:val="22"/>
          <w:szCs w:val="22"/>
        </w:rPr>
        <w:br/>
        <w:t xml:space="preserve">o dofinansowanie. </w:t>
      </w:r>
    </w:p>
    <w:p w:rsidR="00737FF6" w:rsidRPr="00D0127E" w:rsidRDefault="001514A9" w:rsidP="00737FF6">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737FF6" w:rsidRPr="00D8249D" w:rsidRDefault="00737FF6" w:rsidP="00737FF6">
      <w:pPr>
        <w:pStyle w:val="Default"/>
        <w:ind w:left="288"/>
        <w:jc w:val="both"/>
        <w:rPr>
          <w:rFonts w:asciiTheme="minorHAnsi" w:hAnsiTheme="minorHAnsi"/>
          <w:sz w:val="22"/>
          <w:szCs w:val="22"/>
        </w:rPr>
      </w:pPr>
    </w:p>
    <w:p w:rsidR="00D8249D" w:rsidRPr="00D8249D" w:rsidRDefault="00D8249D" w:rsidP="00737FF6">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Pomoc de minimis</w:t>
      </w:r>
    </w:p>
    <w:p w:rsidR="00D8249D" w:rsidRDefault="00D8249D" w:rsidP="00D8249D">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D8249D" w:rsidRPr="00D8249D" w:rsidRDefault="00D8249D" w:rsidP="00D8249D">
      <w:pPr>
        <w:pStyle w:val="Akapitzlist"/>
        <w:spacing w:after="160" w:line="259" w:lineRule="auto"/>
        <w:ind w:left="709"/>
        <w:jc w:val="both"/>
        <w:rPr>
          <w:rFonts w:asciiTheme="minorHAnsi" w:hAnsiTheme="minorHAnsi"/>
          <w:sz w:val="22"/>
          <w:szCs w:val="22"/>
        </w:rPr>
      </w:pPr>
    </w:p>
    <w:p w:rsidR="00737FF6" w:rsidRPr="00D8249D"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A8769F" w:rsidRDefault="00A8769F" w:rsidP="00C03F8C">
      <w:pPr>
        <w:pStyle w:val="Akapitzlist"/>
        <w:spacing w:after="160" w:line="259" w:lineRule="auto"/>
        <w:ind w:left="709" w:firstLine="284"/>
        <w:jc w:val="both"/>
        <w:rPr>
          <w:rFonts w:asciiTheme="minorHAnsi" w:hAnsiTheme="minorHAnsi"/>
          <w:sz w:val="22"/>
          <w:szCs w:val="22"/>
        </w:rPr>
      </w:pPr>
    </w:p>
    <w:p w:rsidR="002C6BCE" w:rsidRPr="00170D7C" w:rsidRDefault="002C6BCE" w:rsidP="002C6BCE">
      <w:pPr>
        <w:pStyle w:val="Default"/>
        <w:spacing w:line="293" w:lineRule="exact"/>
        <w:jc w:val="both"/>
        <w:rPr>
          <w:rFonts w:asciiTheme="minorHAnsi" w:hAnsiTheme="minorHAnsi" w:cs="Times New Roman"/>
          <w:color w:val="auto"/>
          <w:sz w:val="22"/>
          <w:szCs w:val="22"/>
        </w:rPr>
      </w:pPr>
      <w:r w:rsidRPr="0083626E">
        <w:rPr>
          <w:rFonts w:asciiTheme="minorHAnsi" w:hAnsiTheme="minorHAnsi" w:cs="Times New Roman"/>
          <w:sz w:val="22"/>
          <w:szCs w:val="22"/>
        </w:rPr>
        <w:t>Koszty związane z przedsięwzięciami realizowanymi przez co najmniej dwa MŚP mającymi na celu zmianę modelu zarządzania ofertą firmy poprzez pakietowanie produktów i usług (min. trzy różne produkty/usługi) i oferowanie ich klientom w formie połączonej</w:t>
      </w:r>
      <w:r>
        <w:rPr>
          <w:rFonts w:asciiTheme="minorHAnsi" w:hAnsiTheme="minorHAnsi" w:cs="Times New Roman"/>
          <w:sz w:val="22"/>
          <w:szCs w:val="22"/>
        </w:rPr>
        <w:t xml:space="preserve">. </w:t>
      </w:r>
      <w:r w:rsidRPr="00423E67">
        <w:rPr>
          <w:rFonts w:asciiTheme="minorHAnsi" w:hAnsiTheme="minorHAnsi"/>
          <w:sz w:val="22"/>
          <w:szCs w:val="22"/>
        </w:rPr>
        <w:t xml:space="preserve">Ponadto koszty na przygotowanie zaplecza technologicznego, aplikacji,  rozwiązań teleinformatycznych oraz inne niezbędne inwestycje związane z pakietowaniem oferty, </w:t>
      </w:r>
      <w:r w:rsidRPr="00423E67">
        <w:rPr>
          <w:rFonts w:asciiTheme="minorHAnsi" w:hAnsiTheme="minorHAnsi"/>
          <w:color w:val="auto"/>
          <w:sz w:val="22"/>
          <w:szCs w:val="22"/>
        </w:rPr>
        <w:t xml:space="preserve">przez które rozumie się wydatki mające na celu dostosowanie dotychczasowej  </w:t>
      </w:r>
      <w:r>
        <w:rPr>
          <w:rFonts w:asciiTheme="minorHAnsi" w:hAnsiTheme="minorHAnsi"/>
          <w:color w:val="auto"/>
          <w:sz w:val="22"/>
          <w:szCs w:val="22"/>
        </w:rPr>
        <w:t xml:space="preserve">lub planowanej nowej oferty </w:t>
      </w:r>
      <w:r w:rsidRPr="00423E67">
        <w:rPr>
          <w:rFonts w:asciiTheme="minorHAnsi" w:hAnsiTheme="minorHAnsi"/>
          <w:color w:val="auto"/>
          <w:sz w:val="22"/>
          <w:szCs w:val="22"/>
        </w:rPr>
        <w:t>(produktu lub usługi) do potrzeb pakietu.</w:t>
      </w:r>
    </w:p>
    <w:p w:rsidR="002C6BCE" w:rsidRPr="0083626E" w:rsidRDefault="002C6BCE" w:rsidP="002C6BCE">
      <w:pPr>
        <w:pStyle w:val="Default"/>
        <w:spacing w:line="293" w:lineRule="exact"/>
        <w:jc w:val="both"/>
        <w:rPr>
          <w:rFonts w:asciiTheme="minorHAnsi" w:hAnsiTheme="minorHAnsi" w:cs="Times New Roman"/>
          <w:sz w:val="22"/>
          <w:szCs w:val="22"/>
        </w:rPr>
      </w:pPr>
      <w:r w:rsidRPr="00170D7C">
        <w:rPr>
          <w:rFonts w:asciiTheme="minorHAnsi" w:hAnsiTheme="minorHAnsi" w:cs="Times New Roman"/>
          <w:color w:val="auto"/>
          <w:sz w:val="22"/>
          <w:szCs w:val="22"/>
        </w:rPr>
        <w:t>Do współfinansowania w ramach działania kwalifikują się poniższe</w:t>
      </w:r>
      <w:r w:rsidRPr="0083626E">
        <w:rPr>
          <w:rFonts w:asciiTheme="minorHAnsi" w:hAnsiTheme="minorHAnsi" w:cs="Times New Roman"/>
          <w:sz w:val="22"/>
          <w:szCs w:val="22"/>
        </w:rPr>
        <w:t xml:space="preserve"> wydatki:</w:t>
      </w:r>
    </w:p>
    <w:p w:rsidR="002C6BCE" w:rsidRDefault="002C6BCE" w:rsidP="00C03F8C">
      <w:pPr>
        <w:pStyle w:val="Akapitzlist"/>
        <w:spacing w:after="160" w:line="259" w:lineRule="auto"/>
        <w:ind w:left="709" w:firstLine="284"/>
        <w:jc w:val="both"/>
        <w:rPr>
          <w:rFonts w:asciiTheme="minorHAnsi" w:hAnsiTheme="minorHAnsi"/>
          <w:sz w:val="22"/>
          <w:szCs w:val="22"/>
        </w:rPr>
      </w:pPr>
    </w:p>
    <w:p w:rsidR="00737FF6" w:rsidRPr="00D8249D" w:rsidRDefault="00737FF6" w:rsidP="00D8249D">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lastRenderedPageBreak/>
        <w:t xml:space="preserve">Nadzór </w:t>
      </w:r>
    </w:p>
    <w:p w:rsidR="00737FF6" w:rsidRPr="00737FF6" w:rsidRDefault="00737FF6" w:rsidP="00737FF6">
      <w:pPr>
        <w:pStyle w:val="Default"/>
        <w:ind w:left="992"/>
        <w:jc w:val="both"/>
        <w:rPr>
          <w:rFonts w:asciiTheme="minorHAnsi" w:hAnsiTheme="minorHAnsi"/>
        </w:rPr>
      </w:pPr>
      <w:r w:rsidRPr="00737FF6">
        <w:rPr>
          <w:rFonts w:asciiTheme="minorHAnsi" w:hAnsiTheme="minorHAnsi"/>
        </w:rPr>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737FF6" w:rsidRPr="00737FF6" w:rsidRDefault="00737FF6" w:rsidP="00737FF6">
      <w:pPr>
        <w:pStyle w:val="Akapitzlist"/>
        <w:spacing w:line="259" w:lineRule="auto"/>
        <w:ind w:left="992"/>
        <w:jc w:val="both"/>
        <w:rPr>
          <w:rFonts w:asciiTheme="minorHAnsi" w:hAnsiTheme="minorHAnsi"/>
        </w:rPr>
      </w:pPr>
      <w:r w:rsidRPr="00737FF6">
        <w:rPr>
          <w:rFonts w:asciiTheme="minorHAnsi" w:hAnsiTheme="minorHAnsi"/>
          <w:bCs/>
        </w:rPr>
        <w:t>Wydatek poniesiony przez Wnioskodawcę/Beneficjenta na rzecz inwestora zastępczego/ inżyniera kontraktu w ramach RPO WiM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sidR="009443BD">
        <w:rPr>
          <w:rFonts w:asciiTheme="minorHAnsi" w:hAnsiTheme="minorHAnsi"/>
        </w:rPr>
        <w:t>4</w:t>
      </w:r>
      <w:r w:rsidRPr="00737FF6">
        <w:rPr>
          <w:rFonts w:asciiTheme="minorHAnsi" w:hAnsiTheme="minorHAnsi"/>
        </w:rPr>
        <w:t>.</w:t>
      </w:r>
      <w:r w:rsidR="009443BD">
        <w:rPr>
          <w:rFonts w:asciiTheme="minorHAnsi" w:hAnsiTheme="minorHAnsi"/>
        </w:rPr>
        <w:t>2 Pakietowanie produktów i usług</w:t>
      </w:r>
      <w:r w:rsidR="001514A9">
        <w:rPr>
          <w:rFonts w:asciiTheme="minorHAnsi" w:hAnsiTheme="minorHAnsi"/>
        </w:rPr>
        <w:t>.</w:t>
      </w:r>
    </w:p>
    <w:p w:rsidR="00737FF6" w:rsidRDefault="00737FF6" w:rsidP="00737FF6">
      <w:pPr>
        <w:pStyle w:val="Akapitzlist"/>
        <w:ind w:left="572"/>
        <w:jc w:val="both"/>
        <w:rPr>
          <w:rFonts w:asciiTheme="minorHAnsi" w:hAnsiTheme="minorHAnsi"/>
        </w:rPr>
      </w:pPr>
    </w:p>
    <w:p w:rsidR="006E4B71" w:rsidRPr="00737FF6" w:rsidRDefault="006E4B71" w:rsidP="00737FF6">
      <w:pPr>
        <w:pStyle w:val="Akapitzlist"/>
        <w:ind w:left="572"/>
        <w:jc w:val="both"/>
        <w:rPr>
          <w:rFonts w:asciiTheme="minorHAnsi" w:hAnsiTheme="minorHAnsi"/>
        </w:rPr>
      </w:pPr>
    </w:p>
    <w:p w:rsidR="00737FF6" w:rsidRDefault="00737FF6" w:rsidP="00737FF6">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lastRenderedPageBreak/>
        <w:t>Pozostałe</w:t>
      </w:r>
      <w:r w:rsidRPr="00737FF6">
        <w:rPr>
          <w:rFonts w:asciiTheme="minorHAnsi" w:hAnsiTheme="minorHAnsi"/>
          <w:b/>
        </w:rPr>
        <w:t xml:space="preserve"> wydatki kwalifikowalne:</w:t>
      </w:r>
    </w:p>
    <w:p w:rsidR="00A8769F" w:rsidRPr="00A8769F" w:rsidRDefault="00A8769F" w:rsidP="00BC3D01">
      <w:pPr>
        <w:pStyle w:val="Teksttreci40"/>
        <w:numPr>
          <w:ilvl w:val="0"/>
          <w:numId w:val="36"/>
        </w:numPr>
        <w:shd w:val="clear" w:color="auto" w:fill="auto"/>
        <w:tabs>
          <w:tab w:val="left" w:pos="2127"/>
        </w:tabs>
        <w:spacing w:line="293" w:lineRule="exact"/>
        <w:rPr>
          <w:rFonts w:asciiTheme="minorHAnsi" w:hAnsiTheme="minorHAnsi"/>
          <w:i w:val="0"/>
          <w:sz w:val="22"/>
          <w:szCs w:val="22"/>
        </w:rPr>
      </w:pPr>
      <w:r w:rsidRPr="00A8769F">
        <w:rPr>
          <w:rFonts w:asciiTheme="minorHAnsi" w:hAnsiTheme="minorHAnsi"/>
          <w:i w:val="0"/>
          <w:sz w:val="22"/>
          <w:szCs w:val="22"/>
        </w:rPr>
        <w:t>zakup wartości niematerialnych i prawnych w formie patentów, licencji, know-how oraz innych</w:t>
      </w:r>
      <w:r w:rsidR="00055090">
        <w:rPr>
          <w:rFonts w:asciiTheme="minorHAnsi" w:hAnsiTheme="minorHAnsi"/>
          <w:i w:val="0"/>
          <w:sz w:val="22"/>
          <w:szCs w:val="22"/>
        </w:rPr>
        <w:t xml:space="preserve"> praw własności intelektualnej;</w:t>
      </w:r>
    </w:p>
    <w:p w:rsidR="00BC3D01" w:rsidRPr="0083626E"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zakup serwerów, sprzętu komputerowego, innych maszyn</w:t>
      </w:r>
      <w:r>
        <w:rPr>
          <w:rFonts w:asciiTheme="minorHAnsi" w:hAnsiTheme="minorHAnsi" w:cs="Times New Roman"/>
          <w:sz w:val="22"/>
          <w:szCs w:val="22"/>
        </w:rPr>
        <w:t xml:space="preserve"> i</w:t>
      </w:r>
      <w:r w:rsidRPr="0083626E">
        <w:rPr>
          <w:rFonts w:asciiTheme="minorHAnsi" w:hAnsiTheme="minorHAnsi" w:cs="Times New Roman"/>
          <w:sz w:val="22"/>
          <w:szCs w:val="22"/>
        </w:rPr>
        <w:t xml:space="preserve"> urządzeń niezbędnych do utworzenia i wdrożenia </w:t>
      </w:r>
      <w:r>
        <w:rPr>
          <w:rFonts w:asciiTheme="minorHAnsi" w:hAnsiTheme="minorHAnsi" w:cs="Times New Roman"/>
          <w:sz w:val="22"/>
          <w:szCs w:val="22"/>
        </w:rPr>
        <w:t>pakietu</w:t>
      </w:r>
      <w:r w:rsidRPr="0083626E">
        <w:rPr>
          <w:rFonts w:asciiTheme="minorHAnsi" w:hAnsiTheme="minorHAnsi" w:cs="Times New Roman"/>
          <w:sz w:val="22"/>
          <w:szCs w:val="22"/>
        </w:rPr>
        <w:t xml:space="preserve">; </w:t>
      </w:r>
    </w:p>
    <w:p w:rsidR="00BC3D01" w:rsidRPr="001F551F"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w:t>
      </w:r>
      <w:r>
        <w:rPr>
          <w:rFonts w:asciiTheme="minorHAnsi" w:hAnsiTheme="minorHAnsi" w:cs="Times New Roman"/>
          <w:sz w:val="22"/>
          <w:szCs w:val="22"/>
        </w:rPr>
        <w:t>na potrzeby pakietowania</w:t>
      </w:r>
      <w:r w:rsidR="006C6239">
        <w:rPr>
          <w:rFonts w:asciiTheme="minorHAnsi" w:hAnsiTheme="minorHAnsi" w:cs="Times New Roman"/>
          <w:sz w:val="22"/>
          <w:szCs w:val="22"/>
        </w:rPr>
        <w:t xml:space="preserve">, </w:t>
      </w:r>
      <w:r w:rsidR="006C6239" w:rsidRPr="008A2E4F">
        <w:rPr>
          <w:rFonts w:asciiTheme="minorHAnsi" w:hAnsiTheme="minorHAnsi"/>
          <w:sz w:val="22"/>
          <w:szCs w:val="22"/>
        </w:rPr>
        <w:t>pod warunkiem podwyższenia ich wartości księgowej</w:t>
      </w:r>
      <w:r w:rsidRPr="0083626E">
        <w:rPr>
          <w:rFonts w:asciiTheme="minorHAnsi" w:hAnsiTheme="minorHAnsi" w:cs="Times New Roman"/>
          <w:sz w:val="22"/>
          <w:szCs w:val="22"/>
        </w:rPr>
        <w:t>;</w:t>
      </w:r>
    </w:p>
    <w:p w:rsidR="00BC3D01" w:rsidRPr="006567E6"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AA3433">
        <w:rPr>
          <w:rFonts w:asciiTheme="minorHAnsi" w:hAnsiTheme="minorHAnsi" w:cs="Times New Roman"/>
          <w:color w:val="000000" w:themeColor="text1"/>
          <w:sz w:val="22"/>
          <w:szCs w:val="22"/>
        </w:rPr>
        <w:t xml:space="preserve">wydatki na nadzór, Inwestora zastępczego, Inżyniera kontraktu oraz zakup robót budowlanych, których suma </w:t>
      </w:r>
      <w:r>
        <w:rPr>
          <w:rFonts w:asciiTheme="minorHAnsi" w:hAnsiTheme="minorHAnsi" w:cs="Times New Roman"/>
          <w:color w:val="000000" w:themeColor="text1"/>
          <w:sz w:val="22"/>
          <w:szCs w:val="22"/>
        </w:rPr>
        <w:t xml:space="preserve">nie </w:t>
      </w:r>
      <w:r w:rsidRPr="00AA3433">
        <w:rPr>
          <w:rFonts w:asciiTheme="minorHAnsi" w:hAnsiTheme="minorHAnsi" w:cs="Times New Roman"/>
          <w:color w:val="000000" w:themeColor="text1"/>
          <w:sz w:val="22"/>
          <w:szCs w:val="22"/>
        </w:rPr>
        <w:t xml:space="preserve">przekracza </w:t>
      </w:r>
      <w:r>
        <w:rPr>
          <w:rFonts w:asciiTheme="minorHAnsi" w:hAnsiTheme="minorHAnsi" w:cs="Times New Roman"/>
          <w:color w:val="000000" w:themeColor="text1"/>
          <w:sz w:val="22"/>
          <w:szCs w:val="22"/>
        </w:rPr>
        <w:t>7</w:t>
      </w:r>
      <w:r w:rsidRPr="00AA3433">
        <w:rPr>
          <w:rFonts w:asciiTheme="minorHAnsi" w:hAnsiTheme="minorHAnsi" w:cs="Times New Roman"/>
          <w:color w:val="000000" w:themeColor="text1"/>
          <w:sz w:val="22"/>
          <w:szCs w:val="22"/>
        </w:rPr>
        <w:t>0 % całkowitych wydatków kwalifikujących się do objęcia wsparciem</w:t>
      </w:r>
      <w:r w:rsidRPr="0083626E">
        <w:rPr>
          <w:rFonts w:asciiTheme="minorHAnsi" w:hAnsiTheme="minorHAnsi" w:cs="Times New Roman"/>
          <w:sz w:val="22"/>
          <w:szCs w:val="22"/>
        </w:rPr>
        <w:t>;</w:t>
      </w:r>
    </w:p>
    <w:p w:rsidR="00BC3D01" w:rsidRPr="006567E6"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423E67">
        <w:rPr>
          <w:rFonts w:asciiTheme="minorHAnsi" w:hAnsiTheme="minorHAnsi" w:cs="Times New Roman"/>
          <w:sz w:val="22"/>
          <w:szCs w:val="22"/>
        </w:rPr>
        <w:t xml:space="preserve">zakup </w:t>
      </w:r>
      <w:r>
        <w:rPr>
          <w:rFonts w:asciiTheme="minorHAnsi" w:hAnsiTheme="minorHAnsi" w:cs="Times New Roman"/>
          <w:sz w:val="22"/>
          <w:szCs w:val="22"/>
        </w:rPr>
        <w:t xml:space="preserve">nowych </w:t>
      </w:r>
      <w:r w:rsidRPr="00423E67">
        <w:rPr>
          <w:rFonts w:asciiTheme="minorHAnsi" w:hAnsiTheme="minorHAnsi" w:cs="Times New Roman"/>
          <w:sz w:val="22"/>
          <w:szCs w:val="22"/>
        </w:rPr>
        <w:t xml:space="preserve">środków transportu </w:t>
      </w:r>
      <w:r w:rsidR="00392593">
        <w:rPr>
          <w:rFonts w:asciiTheme="minorHAnsi" w:hAnsiTheme="minorHAnsi" w:cs="Times New Roman"/>
          <w:sz w:val="22"/>
          <w:szCs w:val="22"/>
        </w:rPr>
        <w:t xml:space="preserve">z wyłączeniem </w:t>
      </w:r>
      <w:r w:rsidRPr="006567E6">
        <w:t>podgrupy 7</w:t>
      </w:r>
      <w:r w:rsidR="00392593">
        <w:t>41</w:t>
      </w:r>
      <w:r w:rsidRPr="006567E6">
        <w:t xml:space="preserve"> (według Klasyfikacji Środków Trwałych GUS);</w:t>
      </w:r>
    </w:p>
    <w:p w:rsidR="00BC3D01" w:rsidRPr="0083626E"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pakietowaniem oferty</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p>
    <w:p w:rsidR="00BC3D01" w:rsidRPr="0083626E"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w:t>
      </w:r>
      <w:r w:rsidR="006D7AA2">
        <w:rPr>
          <w:rFonts w:asciiTheme="minorHAnsi" w:hAnsiTheme="minorHAnsi" w:cs="Times New Roman"/>
          <w:sz w:val="22"/>
          <w:szCs w:val="22"/>
        </w:rPr>
        <w:t xml:space="preserve"> – w tym wspieranie i organizowanie procesu przygotowania pakietu</w:t>
      </w:r>
      <w:r w:rsidRPr="0083626E">
        <w:rPr>
          <w:rFonts w:asciiTheme="minorHAnsi" w:hAnsiTheme="minorHAnsi" w:cs="Times New Roman"/>
          <w:sz w:val="22"/>
          <w:szCs w:val="22"/>
        </w:rPr>
        <w:t>,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p>
    <w:p w:rsidR="00BC3D01" w:rsidRPr="00FD2758"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 rozwiązań (w tym tłumaczenie opisów produktów, usług) związanych z pakietowaniem oferty.</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r w:rsidRPr="0083626E">
        <w:rPr>
          <w:rFonts w:asciiTheme="minorHAnsi" w:hAnsiTheme="minorHAnsi" w:cs="Times New Roman"/>
          <w:sz w:val="22"/>
          <w:szCs w:val="22"/>
        </w:rPr>
        <w:t xml:space="preserve"> </w:t>
      </w:r>
    </w:p>
    <w:p w:rsidR="00BC3D01" w:rsidRPr="00FD2758"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FD2758">
        <w:rPr>
          <w:rFonts w:asciiTheme="minorHAnsi" w:hAnsiTheme="minorHAnsi" w:cs="Times New Roman"/>
          <w:sz w:val="22"/>
          <w:szCs w:val="22"/>
        </w:rPr>
        <w:t xml:space="preserve">Wydatki na działania promocyjne i informacyjne na rzecz upowszechnienia oferty produktów i usług (podlegających pakietowaniu w ramach projektu) wśród potencjalnych odbiorców (koszty promocji zaplanowane we wniosku o dofinansowanie projektu </w:t>
      </w:r>
      <w:r w:rsidRPr="00FD2758">
        <w:rPr>
          <w:rFonts w:asciiTheme="minorHAnsi" w:hAnsiTheme="minorHAnsi" w:cs="Times New Roman"/>
          <w:sz w:val="22"/>
          <w:szCs w:val="22"/>
          <w:u w:val="single"/>
        </w:rPr>
        <w:t>nie mogą przekroczyć 10 % wydatków kwalifikowanych wniosku pierwotnie złożonego</w:t>
      </w:r>
      <w:r w:rsidRPr="00FD2758">
        <w:rPr>
          <w:rFonts w:asciiTheme="minorHAnsi" w:hAnsiTheme="minorHAnsi" w:cs="Times New Roman"/>
          <w:sz w:val="22"/>
          <w:szCs w:val="22"/>
        </w:rPr>
        <w:t>).</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p>
    <w:p w:rsidR="00BC3D01" w:rsidRPr="000A16F9" w:rsidRDefault="00BC3D01" w:rsidP="00BC3D01">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w:t>
      </w:r>
      <w:proofErr w:type="spellStart"/>
      <w:r w:rsidRPr="0083626E">
        <w:rPr>
          <w:rFonts w:asciiTheme="minorHAnsi" w:hAnsiTheme="minorHAnsi" w:cs="Times New Roman"/>
          <w:i w:val="0"/>
          <w:sz w:val="22"/>
          <w:szCs w:val="22"/>
        </w:rPr>
        <w:t>promocyjno</w:t>
      </w:r>
      <w:proofErr w:type="spellEnd"/>
      <w:r w:rsidRPr="0083626E">
        <w:rPr>
          <w:rFonts w:asciiTheme="minorHAnsi" w:hAnsiTheme="minorHAnsi" w:cs="Times New Roman"/>
          <w:i w:val="0"/>
          <w:sz w:val="22"/>
          <w:szCs w:val="22"/>
        </w:rPr>
        <w:t xml:space="preserve"> – informacyjnych wraz z prawami autorskimi i koszty ich publikacji w prasie, radiu, telewizji;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lastRenderedPageBreak/>
        <w:t>koszty pozycjonowania strony;</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A8769F" w:rsidRPr="004905E2" w:rsidRDefault="00A8769F" w:rsidP="00737FF6">
      <w:pPr>
        <w:pStyle w:val="Akapitzlist"/>
        <w:ind w:left="572"/>
        <w:jc w:val="both"/>
        <w:rPr>
          <w:rFonts w:asciiTheme="minorHAnsi" w:hAnsiTheme="minorHAnsi"/>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w:t>
      </w:r>
      <w:r w:rsidR="00737FF6" w:rsidRPr="00737FF6">
        <w:rPr>
          <w:rFonts w:asciiTheme="minorHAnsi" w:hAnsiTheme="minorHAnsi" w:cs="Arial"/>
        </w:rPr>
        <w:t>ydatki związane z audytem projektu;</w:t>
      </w:r>
    </w:p>
    <w:p w:rsidR="00EC4CEE" w:rsidRP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Wydatki operacyjne;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D0127E" w:rsidRPr="00161610" w:rsidRDefault="00737FF6" w:rsidP="00A87B2A">
      <w:pPr>
        <w:pStyle w:val="Akapitzlist"/>
        <w:numPr>
          <w:ilvl w:val="0"/>
          <w:numId w:val="39"/>
        </w:numPr>
        <w:spacing w:line="259" w:lineRule="auto"/>
        <w:jc w:val="both"/>
        <w:rPr>
          <w:rFonts w:asciiTheme="minorHAnsi" w:hAnsiTheme="minorHAnsi" w:cs="Arial"/>
        </w:rPr>
      </w:pPr>
      <w:r w:rsidRPr="00161610">
        <w:rPr>
          <w:rFonts w:asciiTheme="minorHAnsi" w:hAnsiTheme="minorHAnsi" w:cs="Arial"/>
        </w:rPr>
        <w:t>Wydatki na inżyniera</w:t>
      </w:r>
      <w:r w:rsidRPr="00161610">
        <w:rPr>
          <w:rFonts w:asciiTheme="minorHAnsi" w:hAnsiTheme="minorHAnsi"/>
        </w:rPr>
        <w:t xml:space="preserve"> kontraktu poniesione w okresie gwarancyjnym (po zakończeniu robót budowlanych) stanowią koszt niekwalifikowalny</w:t>
      </w:r>
      <w:r w:rsidR="00161610" w:rsidRPr="00161610">
        <w:rPr>
          <w:rFonts w:asciiTheme="minorHAnsi" w:hAnsiTheme="minorHAnsi"/>
        </w:rPr>
        <w:t>;</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EC4CEE">
        <w:rPr>
          <w:rStyle w:val="Teksttreci4BezkursywyOdstpy0pt"/>
          <w:rFonts w:asciiTheme="minorHAnsi" w:hAnsiTheme="minorHAnsi" w:cs="Times New Roman"/>
          <w:i w:val="0"/>
          <w:sz w:val="22"/>
          <w:szCs w:val="22"/>
        </w:rPr>
        <w:t>wydatki objęte</w:t>
      </w:r>
      <w:r w:rsidRPr="0083626E">
        <w:rPr>
          <w:rStyle w:val="Teksttreci4BezkursywyOdstpy0pt"/>
          <w:rFonts w:asciiTheme="minorHAnsi" w:hAnsiTheme="minorHAnsi" w:cs="Times New Roman"/>
          <w:sz w:val="22"/>
          <w:szCs w:val="22"/>
        </w:rPr>
        <w:t xml:space="preserve"> </w:t>
      </w:r>
      <w:r w:rsidRPr="0083626E">
        <w:rPr>
          <w:rFonts w:asciiTheme="minorHAnsi" w:hAnsiTheme="minorHAnsi" w:cs="Times New Roman"/>
          <w:i w:val="0"/>
          <w:sz w:val="22"/>
          <w:szCs w:val="22"/>
        </w:rPr>
        <w:t>cross-</w:t>
      </w:r>
      <w:proofErr w:type="spellStart"/>
      <w:r w:rsidRPr="0083626E">
        <w:rPr>
          <w:rFonts w:asciiTheme="minorHAnsi" w:hAnsiTheme="minorHAnsi" w:cs="Times New Roman"/>
          <w:i w:val="0"/>
          <w:sz w:val="22"/>
          <w:szCs w:val="22"/>
        </w:rPr>
        <w:t>financingiem</w:t>
      </w:r>
      <w:proofErr w:type="spellEnd"/>
      <w:r w:rsidRPr="0083626E">
        <w:rPr>
          <w:rFonts w:asciiTheme="minorHAnsi" w:hAnsiTheme="minorHAnsi" w:cs="Times New Roman"/>
          <w:i w:val="0"/>
          <w:sz w:val="22"/>
          <w:szCs w:val="22"/>
        </w:rPr>
        <w:t>;</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EC4CE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zakup nieruchomości, w tym praw związanych z zakupem nieruchomości;</w:t>
      </w:r>
    </w:p>
    <w:p w:rsidR="00EC4CE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 xml:space="preserve">wydatki na nadzór, Inwestora zastępczego, Inżyniera kontraktu oraz zakup robót budowlanych, których suma przekracza </w:t>
      </w:r>
      <w:r>
        <w:rPr>
          <w:rFonts w:asciiTheme="minorHAnsi" w:hAnsiTheme="minorHAnsi" w:cs="Times New Roman"/>
          <w:i w:val="0"/>
          <w:color w:val="000000" w:themeColor="text1"/>
          <w:sz w:val="22"/>
          <w:szCs w:val="22"/>
        </w:rPr>
        <w:t>7</w:t>
      </w:r>
      <w:r w:rsidRPr="00AA3433">
        <w:rPr>
          <w:rFonts w:asciiTheme="minorHAnsi" w:hAnsiTheme="minorHAnsi" w:cs="Times New Roman"/>
          <w:i w:val="0"/>
          <w:color w:val="000000" w:themeColor="text1"/>
          <w:sz w:val="22"/>
          <w:szCs w:val="22"/>
        </w:rPr>
        <w:t>0 % całkowitych wydatków kwalifikujących się do objęcia wsparciem;</w:t>
      </w:r>
    </w:p>
    <w:p w:rsidR="00EC4CE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6567E6">
        <w:rPr>
          <w:i w:val="0"/>
        </w:rPr>
        <w:t xml:space="preserve">zakup środków transportu </w:t>
      </w:r>
      <w:r w:rsidR="00A87B2A" w:rsidRPr="00A5600F">
        <w:rPr>
          <w:i w:val="0"/>
          <w:sz w:val="22"/>
          <w:szCs w:val="22"/>
        </w:rPr>
        <w:t>z grupy 741 KŚT</w:t>
      </w:r>
      <w:r w:rsidRPr="006567E6">
        <w:rPr>
          <w:i w:val="0"/>
        </w:rPr>
        <w:t>;</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wydatki na szkolenia;</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 szczególności: nadzór/ kierownik, asystent projektu, inwestor zastępczy oraz inżynier kontraktu);</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 xml:space="preserve">wydatki na utrzymanie utworzonej infrastruktury i bieżącą eksploatację po zakończeniu etapu realizacji projektu w tym opłaty za usługi dodatkowe, np. prowadzenie serwisu www, hosting, </w:t>
      </w:r>
      <w:r w:rsidRPr="0083589C">
        <w:rPr>
          <w:rFonts w:asciiTheme="minorHAnsi" w:hAnsiTheme="minorHAnsi" w:cs="Times New Roman"/>
          <w:i w:val="0"/>
          <w:sz w:val="22"/>
          <w:szCs w:val="22"/>
        </w:rPr>
        <w:lastRenderedPageBreak/>
        <w:t>kolokacja serwerów, rejestracja i utrzymanie domen (koszty ponoszone po okresie realizacji inwestycji oraz odnoszące się do fazy eksploatacyjnej projektu);</w:t>
      </w:r>
    </w:p>
    <w:p w:rsidR="00EC4CEE" w:rsidRPr="0083589C"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usług doradczych, </w:t>
      </w:r>
      <w:proofErr w:type="spellStart"/>
      <w:r w:rsidRPr="0083589C">
        <w:rPr>
          <w:rFonts w:asciiTheme="minorHAnsi" w:hAnsiTheme="minorHAnsi" w:cs="Times New Roman"/>
          <w:color w:val="000000" w:themeColor="text1"/>
          <w:sz w:val="22"/>
          <w:szCs w:val="22"/>
        </w:rPr>
        <w:t>informacyjno</w:t>
      </w:r>
      <w:proofErr w:type="spellEnd"/>
      <w:r w:rsidRPr="0083589C">
        <w:rPr>
          <w:rFonts w:asciiTheme="minorHAnsi" w:hAnsiTheme="minorHAnsi" w:cs="Times New Roman"/>
          <w:color w:val="000000" w:themeColor="text1"/>
          <w:sz w:val="22"/>
          <w:szCs w:val="22"/>
        </w:rPr>
        <w:t xml:space="preserve"> - komunikacyjnych, promocyjnych, szkoleniowych (tzw. „metodą gospodarczą");</w:t>
      </w:r>
    </w:p>
    <w:p w:rsidR="00EC4CEE" w:rsidRPr="0083589C"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pakietowanie produktów i usług dotyczących działalności Beneficjenta prowadzonej poza terenem województwa warmińsko – mazurskiego;</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w:t>
      </w:r>
      <w:r w:rsidRPr="0083626E">
        <w:rPr>
          <w:rFonts w:asciiTheme="minorHAnsi" w:hAnsiTheme="minorHAnsi" w:cs="Times New Roman"/>
          <w:sz w:val="22"/>
          <w:szCs w:val="22"/>
          <w:lang w:val="de-DE"/>
        </w:rPr>
        <w:t xml:space="preserve">, </w:t>
      </w:r>
      <w:r w:rsidRPr="0083626E">
        <w:rPr>
          <w:rFonts w:asciiTheme="minorHAnsi" w:hAnsiTheme="minorHAnsi" w:cs="Times New Roman"/>
          <w:sz w:val="22"/>
          <w:szCs w:val="22"/>
        </w:rPr>
        <w:t xml:space="preserve">Podręcznikiem wnioskodawcy i beneficjenta programów polityki spójności 2014-2020 w zakresie informacji i promocji oraz niniejszym </w:t>
      </w:r>
      <w:r w:rsidR="00A87B2A">
        <w:rPr>
          <w:rFonts w:asciiTheme="minorHAnsi" w:hAnsiTheme="minorHAnsi" w:cs="Times New Roman"/>
          <w:sz w:val="22"/>
          <w:szCs w:val="22"/>
        </w:rPr>
        <w:t>Załącznikiem;</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Pr>
          <w:rFonts w:asciiTheme="minorHAnsi" w:hAnsiTheme="minorHAnsi" w:cs="Times New Roman"/>
          <w:sz w:val="22"/>
          <w:szCs w:val="22"/>
        </w:rPr>
        <w:t xml:space="preserve">określone w punkcie </w:t>
      </w:r>
      <w:r w:rsidR="00A87B2A" w:rsidRPr="00A87B2A">
        <w:rPr>
          <w:rFonts w:asciiTheme="minorHAnsi" w:hAnsiTheme="minorHAnsi" w:cs="Times New Roman"/>
          <w:i/>
          <w:sz w:val="22"/>
          <w:szCs w:val="22"/>
        </w:rPr>
        <w:t>Pozostałe wydatki kwalifikowa</w:t>
      </w:r>
      <w:r w:rsidR="006E4B71">
        <w:rPr>
          <w:rFonts w:asciiTheme="minorHAnsi" w:hAnsiTheme="minorHAnsi" w:cs="Times New Roman"/>
          <w:i/>
          <w:sz w:val="22"/>
          <w:szCs w:val="22"/>
        </w:rPr>
        <w:t>l</w:t>
      </w:r>
      <w:r w:rsidR="00A87B2A" w:rsidRPr="00A87B2A">
        <w:rPr>
          <w:rFonts w:asciiTheme="minorHAnsi" w:hAnsiTheme="minorHAnsi" w:cs="Times New Roman"/>
          <w:i/>
          <w:sz w:val="22"/>
          <w:szCs w:val="22"/>
        </w:rPr>
        <w:t>ne</w:t>
      </w:r>
      <w:r>
        <w:rPr>
          <w:rFonts w:asciiTheme="minorHAnsi" w:hAnsiTheme="minorHAnsi" w:cs="Times New Roman"/>
          <w:sz w:val="22"/>
          <w:szCs w:val="22"/>
        </w:rPr>
        <w:t xml:space="preserve"> niniejsz</w:t>
      </w:r>
      <w:r w:rsidR="00A87B2A">
        <w:rPr>
          <w:rFonts w:asciiTheme="minorHAnsi" w:hAnsiTheme="minorHAnsi" w:cs="Times New Roman"/>
          <w:sz w:val="22"/>
          <w:szCs w:val="22"/>
        </w:rPr>
        <w:t>ego</w:t>
      </w:r>
      <w:r>
        <w:rPr>
          <w:rFonts w:asciiTheme="minorHAnsi" w:hAnsiTheme="minorHAnsi" w:cs="Times New Roman"/>
          <w:sz w:val="22"/>
          <w:szCs w:val="22"/>
        </w:rPr>
        <w:t xml:space="preserve"> </w:t>
      </w:r>
      <w:r w:rsidR="00A87B2A">
        <w:rPr>
          <w:rFonts w:asciiTheme="minorHAnsi" w:hAnsiTheme="minorHAnsi" w:cs="Times New Roman"/>
          <w:sz w:val="22"/>
          <w:szCs w:val="22"/>
        </w:rPr>
        <w:t>Załącznika</w:t>
      </w:r>
      <w:r>
        <w:rPr>
          <w:rFonts w:asciiTheme="minorHAnsi" w:hAnsiTheme="minorHAnsi" w:cs="Times New Roman"/>
          <w:sz w:val="22"/>
          <w:szCs w:val="22"/>
        </w:rPr>
        <w:t>;</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i w:val="0"/>
          <w:color w:val="000000" w:themeColor="text1"/>
          <w:sz w:val="22"/>
          <w:szCs w:val="22"/>
        </w:rPr>
        <w:t xml:space="preserve">, </w:t>
      </w:r>
      <w:r w:rsidRPr="00382625">
        <w:rPr>
          <w:rFonts w:asciiTheme="minorHAnsi" w:hAnsiTheme="minorHAnsi" w:cs="Times New Roman"/>
          <w:i w:val="0"/>
          <w:color w:val="000000" w:themeColor="text1"/>
          <w:sz w:val="22"/>
          <w:szCs w:val="22"/>
        </w:rPr>
        <w:t xml:space="preserve">z </w:t>
      </w:r>
      <w:proofErr w:type="spellStart"/>
      <w:r w:rsidRPr="00382625">
        <w:rPr>
          <w:rFonts w:asciiTheme="minorHAnsi" w:hAnsiTheme="minorHAnsi" w:cs="Times New Roman"/>
          <w:i w:val="0"/>
          <w:color w:val="000000" w:themeColor="text1"/>
          <w:sz w:val="22"/>
          <w:szCs w:val="22"/>
        </w:rPr>
        <w:t>późn</w:t>
      </w:r>
      <w:proofErr w:type="spellEnd"/>
      <w:r w:rsidRPr="00382625">
        <w:rPr>
          <w:rFonts w:asciiTheme="minorHAnsi" w:hAnsiTheme="minorHAnsi" w:cs="Times New Roman"/>
          <w:i w:val="0"/>
          <w:color w:val="000000" w:themeColor="text1"/>
          <w:sz w:val="22"/>
          <w:szCs w:val="22"/>
        </w:rPr>
        <w:t>. zm.</w:t>
      </w:r>
      <w:r w:rsidRPr="0083589C">
        <w:rPr>
          <w:rFonts w:asciiTheme="minorHAnsi" w:hAnsiTheme="minorHAnsi" w:cs="Times New Roman"/>
          <w:i w:val="0"/>
          <w:color w:val="000000" w:themeColor="text1"/>
          <w:sz w:val="22"/>
          <w:szCs w:val="22"/>
        </w:rPr>
        <w:t>);</w:t>
      </w:r>
    </w:p>
    <w:p w:rsidR="00EC4CEE" w:rsidRPr="0083589C"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color w:val="000000" w:themeColor="text1"/>
          <w:sz w:val="22"/>
          <w:szCs w:val="22"/>
        </w:rPr>
        <w:t xml:space="preserve">, </w:t>
      </w:r>
      <w:r w:rsidRPr="0083626E">
        <w:rPr>
          <w:rFonts w:asciiTheme="minorHAnsi" w:hAnsiTheme="minorHAnsi" w:cs="Times New Roman"/>
          <w:sz w:val="22"/>
          <w:szCs w:val="22"/>
        </w:rPr>
        <w:t xml:space="preserve">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w:t>
      </w:r>
      <w:r>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 ramach Działania 1.4 </w:t>
      </w:r>
      <w:r w:rsidRPr="0083589C">
        <w:rPr>
          <w:rStyle w:val="Teksttreci2KursywaOdstpy0pt"/>
          <w:rFonts w:asciiTheme="minorHAnsi" w:hAnsiTheme="minorHAnsi" w:cs="Times New Roman"/>
          <w:color w:val="000000" w:themeColor="text1"/>
          <w:sz w:val="22"/>
          <w:szCs w:val="22"/>
        </w:rPr>
        <w:t>Nowe modele biznesowe i ekspansja,</w:t>
      </w:r>
      <w:r w:rsidRPr="0083589C">
        <w:rPr>
          <w:rFonts w:asciiTheme="minorHAnsi" w:hAnsiTheme="minorHAnsi" w:cs="Times New Roman"/>
          <w:i w:val="0"/>
          <w:color w:val="000000" w:themeColor="text1"/>
          <w:sz w:val="22"/>
          <w:szCs w:val="22"/>
        </w:rPr>
        <w:t xml:space="preserve"> Poddziałanie 1.4.2 </w:t>
      </w:r>
      <w:r w:rsidRPr="0083589C">
        <w:rPr>
          <w:rStyle w:val="Teksttreci2KursywaOdstpy0pt"/>
          <w:rFonts w:asciiTheme="minorHAnsi" w:hAnsiTheme="minorHAnsi" w:cs="Times New Roman"/>
          <w:color w:val="000000" w:themeColor="text1"/>
          <w:sz w:val="22"/>
          <w:szCs w:val="22"/>
        </w:rPr>
        <w:t>Pakietowanie produktów i usług - Schemat B;</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niezgodnie z zapisami Rozporządzenia Ministra Infrastruktury i Rozwoju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19 marca 2015 r. w sprawie udzielania pomocy </w:t>
      </w:r>
      <w:r w:rsidRPr="0083589C">
        <w:rPr>
          <w:rStyle w:val="TeksttreciKursywaOdstpy0pt"/>
          <w:rFonts w:asciiTheme="minorHAnsi" w:hAnsiTheme="minorHAnsi" w:cs="Times New Roman"/>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 xml:space="preserve">w ramach regionalnych programów operacyjnych na lata 2014-2020 (Dz. U. z 2015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niezgodnie z zapisami Rozporządzenia Ministra Infrastruktury i Rozwoju 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EC4CEE" w:rsidRPr="00161610" w:rsidRDefault="00EC4CEE" w:rsidP="00A87B2A">
      <w:pPr>
        <w:pStyle w:val="Akapitzlist"/>
        <w:spacing w:line="259" w:lineRule="auto"/>
        <w:ind w:left="993"/>
        <w:jc w:val="both"/>
        <w:rPr>
          <w:rFonts w:asciiTheme="minorHAnsi" w:hAnsiTheme="minorHAnsi" w:cs="Arial"/>
        </w:rPr>
      </w:pPr>
    </w:p>
    <w:sectPr w:rsidR="00EC4CEE" w:rsidRPr="00161610"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9A6" w:rsidRDefault="005D49A6" w:rsidP="00B60552">
      <w:r>
        <w:separator/>
      </w:r>
    </w:p>
  </w:endnote>
  <w:endnote w:type="continuationSeparator" w:id="0">
    <w:p w:rsidR="005D49A6" w:rsidRDefault="005D49A6"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9A6" w:rsidRDefault="005D49A6" w:rsidP="00B60552">
      <w:r>
        <w:separator/>
      </w:r>
    </w:p>
  </w:footnote>
  <w:footnote w:type="continuationSeparator" w:id="0">
    <w:p w:rsidR="005D49A6" w:rsidRDefault="005D49A6"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6">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8">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9">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0">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2">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nsid w:val="31DD32DD"/>
    <w:multiLevelType w:val="hybridMultilevel"/>
    <w:tmpl w:val="21B6CB3E"/>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3">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5">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7">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29">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4">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1">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8"/>
  </w:num>
  <w:num w:numId="2">
    <w:abstractNumId w:val="13"/>
  </w:num>
  <w:num w:numId="3">
    <w:abstractNumId w:val="19"/>
  </w:num>
  <w:num w:numId="4">
    <w:abstractNumId w:val="5"/>
  </w:num>
  <w:num w:numId="5">
    <w:abstractNumId w:val="45"/>
  </w:num>
  <w:num w:numId="6">
    <w:abstractNumId w:val="40"/>
  </w:num>
  <w:num w:numId="7">
    <w:abstractNumId w:val="22"/>
  </w:num>
  <w:num w:numId="8">
    <w:abstractNumId w:val="0"/>
  </w:num>
  <w:num w:numId="9">
    <w:abstractNumId w:val="46"/>
  </w:num>
  <w:num w:numId="10">
    <w:abstractNumId w:val="6"/>
  </w:num>
  <w:num w:numId="11">
    <w:abstractNumId w:val="9"/>
  </w:num>
  <w:num w:numId="12">
    <w:abstractNumId w:val="26"/>
  </w:num>
  <w:num w:numId="13">
    <w:abstractNumId w:val="16"/>
  </w:num>
  <w:num w:numId="14">
    <w:abstractNumId w:val="43"/>
  </w:num>
  <w:num w:numId="15">
    <w:abstractNumId w:val="36"/>
  </w:num>
  <w:num w:numId="16">
    <w:abstractNumId w:val="38"/>
  </w:num>
  <w:num w:numId="17">
    <w:abstractNumId w:val="2"/>
  </w:num>
  <w:num w:numId="18">
    <w:abstractNumId w:val="29"/>
  </w:num>
  <w:num w:numId="19">
    <w:abstractNumId w:val="34"/>
  </w:num>
  <w:num w:numId="20">
    <w:abstractNumId w:val="10"/>
  </w:num>
  <w:num w:numId="21">
    <w:abstractNumId w:val="4"/>
  </w:num>
  <w:num w:numId="22">
    <w:abstractNumId w:val="17"/>
  </w:num>
  <w:num w:numId="23">
    <w:abstractNumId w:val="7"/>
  </w:num>
  <w:num w:numId="24">
    <w:abstractNumId w:val="24"/>
  </w:num>
  <w:num w:numId="25">
    <w:abstractNumId w:val="28"/>
  </w:num>
  <w:num w:numId="26">
    <w:abstractNumId w:val="30"/>
  </w:num>
  <w:num w:numId="27">
    <w:abstractNumId w:val="15"/>
  </w:num>
  <w:num w:numId="28">
    <w:abstractNumId w:val="11"/>
  </w:num>
  <w:num w:numId="29">
    <w:abstractNumId w:val="23"/>
  </w:num>
  <w:num w:numId="30">
    <w:abstractNumId w:val="31"/>
  </w:num>
  <w:num w:numId="31">
    <w:abstractNumId w:val="39"/>
  </w:num>
  <w:num w:numId="32">
    <w:abstractNumId w:val="42"/>
  </w:num>
  <w:num w:numId="33">
    <w:abstractNumId w:val="14"/>
  </w:num>
  <w:num w:numId="34">
    <w:abstractNumId w:val="25"/>
  </w:num>
  <w:num w:numId="35">
    <w:abstractNumId w:val="41"/>
  </w:num>
  <w:num w:numId="36">
    <w:abstractNumId w:val="18"/>
  </w:num>
  <w:num w:numId="37">
    <w:abstractNumId w:val="12"/>
  </w:num>
  <w:num w:numId="38">
    <w:abstractNumId w:val="32"/>
  </w:num>
  <w:num w:numId="39">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5090"/>
    <w:rsid w:val="00057996"/>
    <w:rsid w:val="00061005"/>
    <w:rsid w:val="000642DE"/>
    <w:rsid w:val="0007088D"/>
    <w:rsid w:val="000724E3"/>
    <w:rsid w:val="0007296C"/>
    <w:rsid w:val="00072F02"/>
    <w:rsid w:val="00074D66"/>
    <w:rsid w:val="00075694"/>
    <w:rsid w:val="00077D6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F01"/>
    <w:rsid w:val="000F468C"/>
    <w:rsid w:val="000F54B7"/>
    <w:rsid w:val="001019B0"/>
    <w:rsid w:val="00104DE9"/>
    <w:rsid w:val="001055EB"/>
    <w:rsid w:val="00116CE0"/>
    <w:rsid w:val="00123922"/>
    <w:rsid w:val="00124DE8"/>
    <w:rsid w:val="001279C8"/>
    <w:rsid w:val="0013301C"/>
    <w:rsid w:val="00133DA9"/>
    <w:rsid w:val="0013405A"/>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1610"/>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6BCE"/>
    <w:rsid w:val="002C708B"/>
    <w:rsid w:val="002C7BB3"/>
    <w:rsid w:val="002D1637"/>
    <w:rsid w:val="002D6890"/>
    <w:rsid w:val="002D781B"/>
    <w:rsid w:val="002D7CE5"/>
    <w:rsid w:val="002E45AF"/>
    <w:rsid w:val="002F2909"/>
    <w:rsid w:val="002F49F7"/>
    <w:rsid w:val="002F4B02"/>
    <w:rsid w:val="002F684B"/>
    <w:rsid w:val="002F73F5"/>
    <w:rsid w:val="00300317"/>
    <w:rsid w:val="00302104"/>
    <w:rsid w:val="00305843"/>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66A90"/>
    <w:rsid w:val="003727B9"/>
    <w:rsid w:val="00373EC0"/>
    <w:rsid w:val="003741B4"/>
    <w:rsid w:val="00381660"/>
    <w:rsid w:val="003829D9"/>
    <w:rsid w:val="00382BB8"/>
    <w:rsid w:val="003830CF"/>
    <w:rsid w:val="00387E4C"/>
    <w:rsid w:val="00391BE2"/>
    <w:rsid w:val="00392593"/>
    <w:rsid w:val="00392B4A"/>
    <w:rsid w:val="00393B1E"/>
    <w:rsid w:val="003A0738"/>
    <w:rsid w:val="003A364C"/>
    <w:rsid w:val="003A6896"/>
    <w:rsid w:val="003B0430"/>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2DD9"/>
    <w:rsid w:val="004C37D0"/>
    <w:rsid w:val="004D045E"/>
    <w:rsid w:val="004D0FD7"/>
    <w:rsid w:val="004D17AD"/>
    <w:rsid w:val="004D2B00"/>
    <w:rsid w:val="004D6BC6"/>
    <w:rsid w:val="004E03C0"/>
    <w:rsid w:val="004E285C"/>
    <w:rsid w:val="004E2F32"/>
    <w:rsid w:val="004E3AC2"/>
    <w:rsid w:val="004E5713"/>
    <w:rsid w:val="004E599D"/>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562E"/>
    <w:rsid w:val="00546EC9"/>
    <w:rsid w:val="005503EB"/>
    <w:rsid w:val="00550CDF"/>
    <w:rsid w:val="00556EBE"/>
    <w:rsid w:val="00557744"/>
    <w:rsid w:val="00557996"/>
    <w:rsid w:val="0056249D"/>
    <w:rsid w:val="00562C79"/>
    <w:rsid w:val="005637EE"/>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3242"/>
    <w:rsid w:val="005D49A6"/>
    <w:rsid w:val="005D63DA"/>
    <w:rsid w:val="005D7E5A"/>
    <w:rsid w:val="005E10B1"/>
    <w:rsid w:val="005E3514"/>
    <w:rsid w:val="005F227F"/>
    <w:rsid w:val="005F5F78"/>
    <w:rsid w:val="005F72E2"/>
    <w:rsid w:val="00606D6C"/>
    <w:rsid w:val="00607723"/>
    <w:rsid w:val="00610527"/>
    <w:rsid w:val="00613A2F"/>
    <w:rsid w:val="006177F5"/>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3E9"/>
    <w:rsid w:val="006A7940"/>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6198"/>
    <w:rsid w:val="007062E4"/>
    <w:rsid w:val="00706DC8"/>
    <w:rsid w:val="00706FEE"/>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2E6"/>
    <w:rsid w:val="00791703"/>
    <w:rsid w:val="00797CA9"/>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F2975"/>
    <w:rsid w:val="007F440D"/>
    <w:rsid w:val="007F7B40"/>
    <w:rsid w:val="0080073C"/>
    <w:rsid w:val="00804F2B"/>
    <w:rsid w:val="0080674E"/>
    <w:rsid w:val="0081084D"/>
    <w:rsid w:val="00823440"/>
    <w:rsid w:val="00824A95"/>
    <w:rsid w:val="00826D6F"/>
    <w:rsid w:val="008272F3"/>
    <w:rsid w:val="00831A8D"/>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3BD"/>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238B"/>
    <w:rsid w:val="009E290A"/>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77CB"/>
    <w:rsid w:val="00B21336"/>
    <w:rsid w:val="00B225FE"/>
    <w:rsid w:val="00B2529B"/>
    <w:rsid w:val="00B264B0"/>
    <w:rsid w:val="00B320CD"/>
    <w:rsid w:val="00B32BF3"/>
    <w:rsid w:val="00B32DCA"/>
    <w:rsid w:val="00B33180"/>
    <w:rsid w:val="00B35BD6"/>
    <w:rsid w:val="00B36D8E"/>
    <w:rsid w:val="00B37E89"/>
    <w:rsid w:val="00B415CB"/>
    <w:rsid w:val="00B4428D"/>
    <w:rsid w:val="00B5171F"/>
    <w:rsid w:val="00B55FA2"/>
    <w:rsid w:val="00B57336"/>
    <w:rsid w:val="00B60552"/>
    <w:rsid w:val="00B610D8"/>
    <w:rsid w:val="00B6168E"/>
    <w:rsid w:val="00B63D18"/>
    <w:rsid w:val="00B7411A"/>
    <w:rsid w:val="00B76212"/>
    <w:rsid w:val="00B7690D"/>
    <w:rsid w:val="00B77839"/>
    <w:rsid w:val="00B77B3F"/>
    <w:rsid w:val="00B813DD"/>
    <w:rsid w:val="00B815F4"/>
    <w:rsid w:val="00B81919"/>
    <w:rsid w:val="00B82295"/>
    <w:rsid w:val="00B83159"/>
    <w:rsid w:val="00B91632"/>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1C7E"/>
    <w:rsid w:val="00BD2BA2"/>
    <w:rsid w:val="00BE176F"/>
    <w:rsid w:val="00BE223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31FA"/>
    <w:rsid w:val="00CA38C8"/>
    <w:rsid w:val="00CB1DF3"/>
    <w:rsid w:val="00CB2901"/>
    <w:rsid w:val="00CB649F"/>
    <w:rsid w:val="00CC0215"/>
    <w:rsid w:val="00CC09FF"/>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58A5"/>
    <w:rsid w:val="00D26341"/>
    <w:rsid w:val="00D32361"/>
    <w:rsid w:val="00D32FDF"/>
    <w:rsid w:val="00D3535F"/>
    <w:rsid w:val="00D37BF0"/>
    <w:rsid w:val="00D405CB"/>
    <w:rsid w:val="00D5065D"/>
    <w:rsid w:val="00D51025"/>
    <w:rsid w:val="00D52758"/>
    <w:rsid w:val="00D52F9B"/>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174B"/>
    <w:rsid w:val="00F02E77"/>
    <w:rsid w:val="00F04921"/>
    <w:rsid w:val="00F0497B"/>
    <w:rsid w:val="00F134C3"/>
    <w:rsid w:val="00F14FBF"/>
    <w:rsid w:val="00F16B07"/>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5FD9E-E1F8-457F-88FF-3A386FC8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2140</Words>
  <Characters>12841</Characters>
  <Application>Microsoft Office Word</Application>
  <DocSecurity>0</DocSecurity>
  <Lines>107</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Krystyna Elert</cp:lastModifiedBy>
  <cp:revision>8</cp:revision>
  <cp:lastPrinted>2016-04-12T13:38:00Z</cp:lastPrinted>
  <dcterms:created xsi:type="dcterms:W3CDTF">2018-02-26T12:33:00Z</dcterms:created>
  <dcterms:modified xsi:type="dcterms:W3CDTF">2018-03-20T11:27:00Z</dcterms:modified>
</cp:coreProperties>
</file>