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Default="009174A2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7F1D67" w:rsidRDefault="00C05F2C" w:rsidP="000D2172">
      <w:pPr>
        <w:jc w:val="center"/>
        <w:rPr>
          <w:rFonts w:asciiTheme="minorHAnsi" w:hAnsiTheme="minorHAnsi" w:cs="Arial"/>
          <w:sz w:val="20"/>
          <w:szCs w:val="20"/>
        </w:rPr>
      </w:pPr>
    </w:p>
    <w:p w:rsidR="00C05F2C" w:rsidRPr="007F1D67" w:rsidRDefault="00C05F2C" w:rsidP="00820EFC">
      <w:pPr>
        <w:jc w:val="right"/>
        <w:rPr>
          <w:rFonts w:asciiTheme="minorHAnsi" w:hAnsiTheme="minorHAnsi" w:cs="Arial"/>
          <w:sz w:val="20"/>
          <w:szCs w:val="20"/>
        </w:rPr>
      </w:pPr>
    </w:p>
    <w:p w:rsidR="00ED4071" w:rsidRPr="0004394C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7F1D67">
        <w:rPr>
          <w:rFonts w:asciiTheme="minorHAnsi" w:hAnsiTheme="minorHAnsi" w:cs="Arial"/>
          <w:sz w:val="20"/>
          <w:szCs w:val="20"/>
        </w:rPr>
        <w:tab/>
      </w:r>
      <w:r w:rsidRPr="007F1D67">
        <w:rPr>
          <w:rFonts w:asciiTheme="minorHAnsi" w:hAnsiTheme="minorHAnsi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04394C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Załącznik nr</w:t>
      </w:r>
      <w:r w:rsidR="0065040F" w:rsidRPr="0004394C">
        <w:rPr>
          <w:rFonts w:ascii="Arial" w:hAnsi="Arial" w:cs="Arial"/>
          <w:sz w:val="18"/>
          <w:szCs w:val="20"/>
        </w:rPr>
        <w:t xml:space="preserve"> 12</w:t>
      </w:r>
      <w:r w:rsidRPr="0004394C">
        <w:rPr>
          <w:rFonts w:ascii="Arial" w:hAnsi="Arial" w:cs="Arial"/>
          <w:sz w:val="18"/>
          <w:szCs w:val="20"/>
        </w:rPr>
        <w:t xml:space="preserve">  </w:t>
      </w:r>
      <w:r w:rsidR="00ED4071" w:rsidRPr="0004394C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04394C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konkursu nr RPWM.01.0</w:t>
      </w:r>
      <w:r w:rsidR="00596340" w:rsidRPr="0004394C">
        <w:rPr>
          <w:rFonts w:ascii="Arial" w:hAnsi="Arial" w:cs="Arial"/>
          <w:sz w:val="18"/>
          <w:szCs w:val="20"/>
        </w:rPr>
        <w:t>2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1</w:t>
      </w:r>
      <w:r w:rsidRPr="0004394C">
        <w:rPr>
          <w:rFonts w:ascii="Arial" w:hAnsi="Arial" w:cs="Arial"/>
          <w:sz w:val="18"/>
          <w:szCs w:val="20"/>
        </w:rPr>
        <w:t>-I</w:t>
      </w:r>
      <w:r w:rsidR="00BC10FE" w:rsidRPr="0004394C">
        <w:rPr>
          <w:rFonts w:ascii="Arial" w:hAnsi="Arial" w:cs="Arial"/>
          <w:sz w:val="18"/>
          <w:szCs w:val="20"/>
        </w:rPr>
        <w:t>P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3</w:t>
      </w:r>
      <w:r w:rsidRPr="0004394C">
        <w:rPr>
          <w:rFonts w:ascii="Arial" w:hAnsi="Arial" w:cs="Arial"/>
          <w:sz w:val="18"/>
          <w:szCs w:val="20"/>
        </w:rPr>
        <w:t>-28-001/1</w:t>
      </w:r>
      <w:r w:rsidR="006449DD">
        <w:rPr>
          <w:rFonts w:ascii="Arial" w:hAnsi="Arial" w:cs="Arial"/>
          <w:sz w:val="18"/>
          <w:szCs w:val="20"/>
        </w:rPr>
        <w:t>8</w:t>
      </w:r>
    </w:p>
    <w:p w:rsidR="00ED4071" w:rsidRPr="0004394C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</w:t>
      </w:r>
      <w:r w:rsidR="007F2E42" w:rsidRPr="0004394C">
        <w:rPr>
          <w:rFonts w:ascii="Arial" w:hAnsi="Arial" w:cs="Arial"/>
          <w:sz w:val="18"/>
          <w:szCs w:val="20"/>
        </w:rPr>
        <w:t xml:space="preserve"> </w:t>
      </w:r>
      <w:r w:rsidR="006449DD">
        <w:rPr>
          <w:rFonts w:ascii="Arial" w:hAnsi="Arial" w:cs="Arial"/>
          <w:sz w:val="18"/>
          <w:szCs w:val="20"/>
        </w:rPr>
        <w:t>29.01.</w:t>
      </w:r>
      <w:bookmarkStart w:id="4" w:name="_GoBack"/>
      <w:bookmarkEnd w:id="4"/>
      <w:r w:rsidRPr="0004394C">
        <w:rPr>
          <w:rFonts w:ascii="Arial" w:hAnsi="Arial" w:cs="Arial"/>
          <w:sz w:val="18"/>
          <w:szCs w:val="20"/>
        </w:rPr>
        <w:t>201</w:t>
      </w:r>
      <w:r w:rsidR="00596340" w:rsidRPr="0004394C">
        <w:rPr>
          <w:rFonts w:ascii="Arial" w:hAnsi="Arial" w:cs="Arial"/>
          <w:sz w:val="18"/>
          <w:szCs w:val="20"/>
        </w:rPr>
        <w:t>8</w:t>
      </w:r>
      <w:r w:rsidRPr="0004394C">
        <w:rPr>
          <w:rFonts w:ascii="Arial" w:hAnsi="Arial" w:cs="Arial"/>
          <w:sz w:val="18"/>
          <w:szCs w:val="20"/>
        </w:rPr>
        <w:t xml:space="preserve"> r.</w:t>
      </w:r>
    </w:p>
    <w:p w:rsidR="00ED4071" w:rsidRPr="0004394C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04394C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04394C">
        <w:rPr>
          <w:rFonts w:ascii="Arial" w:hAnsi="Arial" w:cs="Arial"/>
          <w:b/>
          <w:sz w:val="20"/>
          <w:szCs w:val="20"/>
        </w:rPr>
        <w:t>warunkami</w:t>
      </w:r>
      <w:r w:rsidRPr="0004394C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04394C">
        <w:rPr>
          <w:rFonts w:ascii="Arial" w:hAnsi="Arial" w:cs="Arial"/>
          <w:b/>
          <w:sz w:val="20"/>
          <w:szCs w:val="20"/>
        </w:rPr>
        <w:t xml:space="preserve"> </w:t>
      </w:r>
      <w:r w:rsidR="00ED4071" w:rsidRPr="0004394C">
        <w:rPr>
          <w:rFonts w:ascii="Arial" w:hAnsi="Arial" w:cs="Arial"/>
          <w:b/>
          <w:sz w:val="20"/>
          <w:szCs w:val="20"/>
        </w:rPr>
        <w:t>Działania 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Innowacyjne firmy</w:t>
      </w:r>
      <w:r w:rsidR="009A684E" w:rsidRPr="0004394C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04394C">
        <w:rPr>
          <w:rFonts w:ascii="Arial" w:hAnsi="Arial" w:cs="Arial"/>
          <w:b/>
          <w:sz w:val="20"/>
          <w:szCs w:val="20"/>
        </w:rPr>
        <w:t>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>.</w:t>
      </w:r>
      <w:r w:rsidR="00BC10FE" w:rsidRPr="0004394C">
        <w:rPr>
          <w:rFonts w:ascii="Arial" w:hAnsi="Arial" w:cs="Arial"/>
          <w:b/>
          <w:sz w:val="20"/>
          <w:szCs w:val="20"/>
        </w:rPr>
        <w:t>1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Działalność B+R przedsiębiorstw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 xml:space="preserve">(typ 1) </w:t>
      </w:r>
      <w:r w:rsidR="00ED4071" w:rsidRPr="0004394C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E20591" w:rsidRDefault="00E20591" w:rsidP="00E20591">
      <w:pPr>
        <w:jc w:val="center"/>
        <w:rPr>
          <w:rFonts w:ascii="Arial" w:hAnsi="Arial" w:cs="Arial"/>
          <w:b/>
        </w:rPr>
      </w:pPr>
    </w:p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E20591" w:rsidRPr="0074493C" w:rsidTr="00BA2CA8">
        <w:trPr>
          <w:trHeight w:val="890"/>
          <w:jc w:val="center"/>
        </w:trPr>
        <w:tc>
          <w:tcPr>
            <w:tcW w:w="5000" w:type="pct"/>
            <w:gridSpan w:val="4"/>
            <w:shd w:val="clear" w:color="auto" w:fill="B2A1C7"/>
          </w:tcPr>
          <w:p w:rsidR="00E20591" w:rsidRPr="00E20591" w:rsidRDefault="00E20591" w:rsidP="00BA2CA8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E20591" w:rsidRPr="00373107" w:rsidRDefault="00E20591" w:rsidP="00BA2CA8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</w:rPr>
            </w:pPr>
            <w:r w:rsidRPr="00E2059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E20591" w:rsidRPr="0074493C" w:rsidTr="00BA2CA8">
        <w:trPr>
          <w:trHeight w:val="429"/>
          <w:jc w:val="center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Opis warunku</w:t>
            </w:r>
          </w:p>
        </w:tc>
      </w:tr>
      <w:tr w:rsidR="00E20591" w:rsidRPr="0074493C" w:rsidTr="00E20591">
        <w:trPr>
          <w:trHeight w:val="470"/>
          <w:jc w:val="center"/>
        </w:trPr>
        <w:tc>
          <w:tcPr>
            <w:tcW w:w="204" w:type="pct"/>
            <w:vMerge/>
            <w:shd w:val="clear" w:color="auto" w:fill="B2A1C7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Cs/>
                <w:strike/>
                <w:sz w:val="20"/>
                <w:szCs w:val="20"/>
              </w:rPr>
            </w:pPr>
          </w:p>
        </w:tc>
      </w:tr>
      <w:tr w:rsidR="00E20591" w:rsidRPr="0074493C" w:rsidTr="00BA2CA8">
        <w:trPr>
          <w:trHeight w:val="1576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E20591" w:rsidRPr="00D32A94" w:rsidRDefault="00E20591" w:rsidP="00E20591">
      <w:pPr>
        <w:jc w:val="center"/>
        <w:outlineLvl w:val="1"/>
        <w:rPr>
          <w:rFonts w:cs="Calibri"/>
          <w:sz w:val="20"/>
        </w:rPr>
      </w:pPr>
      <w:r>
        <w:rPr>
          <w:rFonts w:ascii="Arial" w:hAnsi="Arial" w:cs="Arial"/>
          <w:b/>
        </w:rPr>
        <w:br w:type="page"/>
      </w: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E20591" w:rsidRPr="00E20591" w:rsidTr="00BA2CA8">
        <w:tc>
          <w:tcPr>
            <w:tcW w:w="14318" w:type="dxa"/>
            <w:gridSpan w:val="4"/>
            <w:shd w:val="clear" w:color="auto" w:fill="B2A1C7"/>
            <w:vAlign w:val="center"/>
          </w:tcPr>
          <w:p w:rsidR="00E20591" w:rsidRPr="00E20591" w:rsidRDefault="00E20591" w:rsidP="00E20591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KRYTERIA FORMALNE WYBORU PROJEKTÓW (OBLIGATORYJNE)</w:t>
            </w:r>
          </w:p>
          <w:p w:rsidR="00E20591" w:rsidRPr="00E20591" w:rsidRDefault="00E20591" w:rsidP="00E20591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E20591" w:rsidRPr="00E20591" w:rsidTr="00BA2CA8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/>
                <w:bCs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E20591"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E20591" w:rsidRPr="00E20591" w:rsidTr="00BA2CA8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E20591" w:rsidRPr="00E20591" w:rsidRDefault="00E20591" w:rsidP="00BA2CA8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E20591" w:rsidRPr="00E20591" w:rsidRDefault="00E20591" w:rsidP="00BA2CA8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E20591" w:rsidRPr="00E20591" w:rsidRDefault="00E20591" w:rsidP="00BA2CA8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E205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E20591" w:rsidRPr="00E20591" w:rsidRDefault="00E20591" w:rsidP="00E20591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E20591" w:rsidRPr="00E20591" w:rsidRDefault="00E20591" w:rsidP="00E20591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E205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Wartość projektu i jego poziom dofinansowania są zgodne z minimalną i maksymalną wartością projektu oraz minimalnym i maksymalnym poziomem dofinansowania obowiązującymi dla danego działania/poddziałania/typu projektu/ beneficjenta określonymi w SZOOP i regulaminie konkursu.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E205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E205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u w:val="single"/>
              </w:rPr>
              <w:t>Kryterium powinno być spełnione na moment oceny kryteriów formalnych</w:t>
            </w: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Weryfikowane będzie spełnienie przez Wnioskodawcę wymogów w zakresie utworzenia partnerstwa zgodnie z ustawą wdrożeniową.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E205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E205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lastRenderedPageBreak/>
              <w:t>6.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 xml:space="preserve">Poprawne zastosowanie  cross-financingu 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Weryfikowane będzie czy  warunki i planowany zakres stosowania cross-financingu nie przekraczają poziomu wskazanego w pkt 15 SZOOP „Warunki i planowany zakres stosowania cross-financingu (%)”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0591" w:rsidRPr="00E20591" w:rsidTr="00BA2CA8">
        <w:tc>
          <w:tcPr>
            <w:tcW w:w="639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4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E20591" w:rsidRDefault="00E20591" w:rsidP="00E20591">
      <w:pPr>
        <w:jc w:val="both"/>
        <w:rPr>
          <w:rFonts w:cs="Calibri"/>
          <w:b/>
          <w:sz w:val="20"/>
          <w:szCs w:val="20"/>
        </w:rPr>
      </w:pPr>
    </w:p>
    <w:p w:rsidR="00E20591" w:rsidRDefault="00E20591" w:rsidP="00E20591">
      <w:pPr>
        <w:jc w:val="both"/>
        <w:rPr>
          <w:rFonts w:cs="Calibri"/>
          <w:b/>
          <w:sz w:val="20"/>
          <w:szCs w:val="20"/>
        </w:rPr>
      </w:pPr>
    </w:p>
    <w:p w:rsidR="00E20591" w:rsidRPr="003D6BAA" w:rsidRDefault="00E20591" w:rsidP="00E20591">
      <w:pPr>
        <w:jc w:val="both"/>
        <w:rPr>
          <w:rFonts w:cs="Calibri"/>
          <w:b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763"/>
        <w:gridCol w:w="6378"/>
        <w:gridCol w:w="4536"/>
      </w:tblGrid>
      <w:tr w:rsidR="00E20591" w:rsidRPr="00E20591" w:rsidTr="00E20591">
        <w:trPr>
          <w:trHeight w:val="416"/>
        </w:trPr>
        <w:tc>
          <w:tcPr>
            <w:tcW w:w="14317" w:type="dxa"/>
            <w:gridSpan w:val="4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OGÓLNE WYBORU PROJEKTÓW (OBLIGATORYJNE)*</w:t>
            </w:r>
          </w:p>
        </w:tc>
      </w:tr>
      <w:tr w:rsidR="00E20591" w:rsidRPr="00E20591" w:rsidTr="00E20591">
        <w:trPr>
          <w:trHeight w:val="414"/>
        </w:trPr>
        <w:tc>
          <w:tcPr>
            <w:tcW w:w="640" w:type="dxa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63" w:type="dxa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UE: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</w:t>
            </w: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E20591">
              <w:rPr>
                <w:rFonts w:ascii="Arial" w:hAnsi="Arial" w:cs="Arial"/>
                <w:strike/>
                <w:sz w:val="18"/>
                <w:szCs w:val="18"/>
                <w:lang w:eastAsia="en-US"/>
              </w:rPr>
              <w:t>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lastRenderedPageBreak/>
              <w:t>Wnioskodawca może uzupełnić lub poprawić projekt w części dotyczącej spełniania kryterium w zakresie określonym w regulaminie konkursu.</w:t>
            </w: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 zrównoważony rozwój.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Sprawdzane będzie: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32"/>
              </w:numPr>
              <w:ind w:left="356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sz w:val="18"/>
                <w:szCs w:val="18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E20591" w:rsidRPr="00E20591" w:rsidRDefault="00E20591" w:rsidP="00E20591">
            <w:pPr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E20591" w:rsidRPr="00E20591" w:rsidRDefault="00E20591" w:rsidP="00E20591">
            <w:pPr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sz w:val="18"/>
                <w:szCs w:val="18"/>
              </w:rPr>
              <w:t>ustawą z dnia 27 kwietnia 2001 r. Prawo ochrony środowiska,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sz w:val="18"/>
                <w:szCs w:val="18"/>
              </w:rPr>
              <w:t>ustawą z dnia 16 kwietnia 2004 r. o ochronie przyrody,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sz w:val="18"/>
                <w:szCs w:val="18"/>
              </w:rPr>
              <w:t xml:space="preserve">ustawą z dnia 18 lipca 2001 r. Prawo wodne 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32"/>
              </w:numPr>
              <w:ind w:left="356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Neutralny wpływ projektu na zasadę horyzontalną jest spełnieniem kryterium.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zgodność założeń projektu z przepisami ustawy prawo zamówień publicznych</w:t>
            </w:r>
            <w:r w:rsidRPr="00E20591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E20591">
              <w:rPr>
                <w:rFonts w:ascii="Arial" w:hAnsi="Arial" w:cs="Arial"/>
                <w:sz w:val="18"/>
                <w:szCs w:val="18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Pomoc publiczna i pomoc de minimis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zgodność zapisów we wniosku o dofinansowanie projektu z zasadami pomocy publicznej/ 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Ocena spełniania kryteriów  polega na przypisaniu im wartości logicznych „tak” lub „nie” </w:t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 albo stwierdzeniu, że kryterium nie dotyczy danego projektu.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E20591" w:rsidRPr="00E20591" w:rsidTr="00E20591">
        <w:tc>
          <w:tcPr>
            <w:tcW w:w="640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E20591" w:rsidRPr="00E20591" w:rsidTr="00E2059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40" w:type="dxa"/>
            <w:vMerge w:val="restar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763" w:type="dxa"/>
            <w:vMerge w:val="restar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E20591" w:rsidRPr="00E20591" w:rsidTr="00E2059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Merge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40" w:type="dxa"/>
            <w:vMerge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40" w:type="dxa"/>
            <w:vMerge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76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35"/>
        <w:gridCol w:w="6378"/>
        <w:gridCol w:w="4536"/>
      </w:tblGrid>
      <w:tr w:rsidR="00E20591" w:rsidRPr="00E20591" w:rsidTr="00E20591">
        <w:tc>
          <w:tcPr>
            <w:tcW w:w="14317" w:type="dxa"/>
            <w:gridSpan w:val="4"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591" w:rsidRPr="00E20591" w:rsidTr="00E20591">
        <w:tc>
          <w:tcPr>
            <w:tcW w:w="568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E20591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 spełnienie co najmniej dwóch z poniższych warunków:</w:t>
            </w:r>
          </w:p>
          <w:p w:rsidR="00E20591" w:rsidRPr="00E20591" w:rsidRDefault="00E20591" w:rsidP="00E20591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wpływ na eliminowanie negatywnego wpływu zagrożeń i/lub wpływ na wykorzystanie szans zdiagnozowanych w analizie SWOT dla danej </w:t>
            </w: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inteligentnej specjalizacji</w:t>
            </w:r>
          </w:p>
          <w:p w:rsidR="00E20591" w:rsidRPr="00E20591" w:rsidRDefault="00E20591" w:rsidP="00E20591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wpływ na wzmocnienie silnych stron i/lub eliminację słabych stron zdiagnozowanych w analizie SWOT dla danej inteligentnej specjalizacji </w:t>
            </w:r>
            <w:r w:rsidRPr="00E20591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20591" w:rsidRPr="00E20591" w:rsidRDefault="00E20591" w:rsidP="00E20591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dyfuzję wyników projektu  na więcej niż jeden podmiot działający w obszarze danej inteligentnej specjalizacji</w:t>
            </w:r>
          </w:p>
          <w:p w:rsidR="00E20591" w:rsidRPr="00E20591" w:rsidRDefault="00E20591" w:rsidP="00E20591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  <w:r w:rsidRPr="00E20591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</w:p>
          <w:p w:rsidR="00E20591" w:rsidRPr="00E20591" w:rsidRDefault="00E20591" w:rsidP="00E20591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Wnioskodawca może uzupełnić lub poprawić projekt w części dotyczącej spełniania kryterium w zakresie </w:t>
            </w: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rPr>
          <w:trHeight w:val="490"/>
        </w:trPr>
        <w:tc>
          <w:tcPr>
            <w:tcW w:w="568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Spełnienie wymagań dotyczących projektów realizowanych przez duże przedsiębiorstwa 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i/>
                <w:sz w:val="18"/>
                <w:szCs w:val="18"/>
              </w:rPr>
              <w:t>(dotyczy wyłącznie jeśli wnioskodawcą jest duże przedsiębiorstwo</w:t>
            </w:r>
            <w:r w:rsidRPr="00E20591">
              <w:rPr>
                <w:rStyle w:val="Odwoanieprzypisudolnego"/>
                <w:rFonts w:cs="Arial"/>
                <w:i/>
                <w:sz w:val="18"/>
                <w:szCs w:val="18"/>
              </w:rPr>
              <w:footnoteReference w:id="3"/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czy: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46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wnioskodawca opisał w studium wykonalności/ biznes planie mechanizm zapewnienia dyfuzji wyników prowadzonej działalności badawczo-rozwojowej do gospodarki regionu </w:t>
            </w:r>
            <w:r w:rsidRPr="00E20591">
              <w:rPr>
                <w:rStyle w:val="Odwoanieprzypisudolnego"/>
                <w:rFonts w:cs="Arial"/>
                <w:sz w:val="18"/>
                <w:szCs w:val="18"/>
              </w:rPr>
              <w:footnoteReference w:id="4"/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oraz współpracy z MŚP 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46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wnioskodawca załączył oświadczenie, że realizacja projektu nie spowoduje spadku liczby miejsc pracy w istniejących lokalizacjach na terytorium UE  (od momentu złożenia wniosku o dofinansowanie) tj. min. 100 miejsc pracy w macierzystym zakładzie (w innym kraju UE), odliczając utworzone miejsca pracy w 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20591" w:rsidRPr="00E20591" w:rsidTr="00E20591">
        <w:trPr>
          <w:trHeight w:val="490"/>
        </w:trPr>
        <w:tc>
          <w:tcPr>
            <w:tcW w:w="568" w:type="dxa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Agenda badawcza</w:t>
            </w:r>
          </w:p>
        </w:tc>
        <w:tc>
          <w:tcPr>
            <w:tcW w:w="6378" w:type="dxa"/>
            <w:vAlign w:val="center"/>
          </w:tcPr>
          <w:p w:rsidR="00E20591" w:rsidRPr="00E20591" w:rsidRDefault="00E20591" w:rsidP="00E20591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czy wnioskodawca załączył do wniosku o dofinansowanie planowaną agendę badawczą, która będzie realizowana przy wykorzystaniu infrastruktury dofinansowanej w ramach projektu. Infrastruktura zgodnie z agendą badawczą zostanie wykorzystana do badań przemysłowych i/lub prac rozwojowych. W szczególności ocenie podlega czy agenda: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 Przedstawia kompleksowy plan prac badawczo-rozwojowych (ich rodzaj, zakres i cele)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Zawiera opis zastosowania planowanych do realizacji badań w gospodarce (wykorzystanie w działalności gospodarczej Wnioskodawcy bądź podmiotów trzecich – na podstawie analizy zapotrzebowania na </w:t>
            </w: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wyniki planowanych prac badawczo-rozwojowych)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Obejmuje badania, dla których planowana do wykorzystania infrastruktura jest niezbędna i które pozwolą na jej utrzymanie w okresie co najmniej trwałości projektu.</w:t>
            </w:r>
          </w:p>
        </w:tc>
        <w:tc>
          <w:tcPr>
            <w:tcW w:w="4536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20591" w:rsidRPr="00E20591" w:rsidRDefault="00E20591" w:rsidP="00E20591">
      <w:pPr>
        <w:rPr>
          <w:rFonts w:ascii="Arial" w:hAnsi="Arial" w:cs="Arial"/>
          <w:i/>
          <w:sz w:val="18"/>
          <w:szCs w:val="18"/>
        </w:rPr>
      </w:pPr>
      <w:r w:rsidRPr="006E22A9">
        <w:rPr>
          <w:i/>
        </w:rPr>
        <w:lastRenderedPageBreak/>
        <w:t xml:space="preserve">* </w:t>
      </w:r>
      <w:r w:rsidRPr="00E20591">
        <w:rPr>
          <w:rFonts w:ascii="Arial" w:hAnsi="Arial" w:cs="Arial"/>
          <w:i/>
          <w:sz w:val="18"/>
          <w:szCs w:val="18"/>
        </w:rPr>
        <w:t>Projekty niespełniające kryteriów merytorycznych ogólnych i kryteriów merytorycznych specyficznych obligatoryjnych są odrzucane i nie podlegają dalszej ocenie.</w:t>
      </w:r>
    </w:p>
    <w:p w:rsidR="00E20591" w:rsidRPr="00E20591" w:rsidRDefault="00E20591" w:rsidP="00E20591">
      <w:pPr>
        <w:rPr>
          <w:rFonts w:ascii="Arial" w:hAnsi="Arial" w:cs="Arial"/>
          <w:i/>
          <w:sz w:val="18"/>
          <w:szCs w:val="18"/>
        </w:rPr>
      </w:pPr>
    </w:p>
    <w:p w:rsidR="00E20591" w:rsidRDefault="00E20591" w:rsidP="00E20591">
      <w:pPr>
        <w:rPr>
          <w:i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E20591" w:rsidRPr="00E20591" w:rsidTr="00BA2CA8">
        <w:tc>
          <w:tcPr>
            <w:tcW w:w="14459" w:type="dxa"/>
            <w:gridSpan w:val="4"/>
            <w:shd w:val="clear" w:color="auto" w:fill="99CC00"/>
            <w:vAlign w:val="center"/>
          </w:tcPr>
          <w:p w:rsidR="00E20591" w:rsidRPr="00E20591" w:rsidRDefault="00E20591" w:rsidP="00BA2C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E20591" w:rsidRPr="00E20591" w:rsidRDefault="00E20591" w:rsidP="00BA2C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E20591" w:rsidRPr="00E20591" w:rsidTr="00BA2CA8">
        <w:tc>
          <w:tcPr>
            <w:tcW w:w="660" w:type="dxa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E20591" w:rsidRPr="00E20591" w:rsidRDefault="00E20591" w:rsidP="00E20591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BA2CA8">
        <w:tc>
          <w:tcPr>
            <w:tcW w:w="660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1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E205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opisana przez Wnioskodawcę we wniosku o dofinansowanie zgodność projektu z kierunkami działań wynikającymi ze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E20591">
              <w:rPr>
                <w:rFonts w:ascii="Arial" w:hAnsi="Arial" w:cs="Arial"/>
                <w:sz w:val="18"/>
                <w:szCs w:val="18"/>
              </w:rPr>
              <w:t>W</w:t>
            </w: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E20591" w:rsidRPr="00E20591" w:rsidRDefault="00E20591" w:rsidP="00E20591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E20591" w:rsidRPr="00E20591" w:rsidRDefault="00E20591" w:rsidP="00E20591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7" w:type="dxa"/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E20591" w:rsidRPr="00E20591" w:rsidTr="00BA2CA8">
        <w:tc>
          <w:tcPr>
            <w:tcW w:w="660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1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wykazuje wpływ na rozwój więcej niż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więcej niż jedną inteligentną specjalizację województwa warmińsko-mazurskiego zidentyfikowaną </w:t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E20591">
              <w:rPr>
                <w:rFonts w:ascii="Arial" w:hAnsi="Arial" w:cs="Arial"/>
                <w:sz w:val="18"/>
                <w:szCs w:val="18"/>
              </w:rPr>
              <w:t>. Wpływ na rozwój inteligentnej specjalizacji należy rozumieć w sposób tożsamy jak w przypadku kryterium nr 1 merytorycznego specyficznego obligatoryjnego.</w:t>
            </w:r>
          </w:p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 wpływ na rozwój maksymalnie jednej inteligentnej specjalizacji – 0 pkt  </w:t>
            </w:r>
          </w:p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wpływ na rozwój 2 inteligentnych specjalizacji – 2 pkt</w:t>
            </w:r>
          </w:p>
          <w:p w:rsidR="00E20591" w:rsidRPr="00E20591" w:rsidRDefault="00E20591" w:rsidP="00E20591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wpływ na rozwój 3 inteligentnych specjalizacji – 3 pkt</w:t>
            </w:r>
          </w:p>
          <w:p w:rsidR="00E20591" w:rsidRPr="00E20591" w:rsidRDefault="00E20591" w:rsidP="00E20591">
            <w:pPr>
              <w:suppressAutoHyphens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7" w:type="dxa"/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591" w:rsidRPr="00E20591" w:rsidTr="00BA2CA8">
        <w:tc>
          <w:tcPr>
            <w:tcW w:w="660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1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5" w:hanging="25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pow. 0 do 2 pkt proc.  powyżej minimalnego poziomu wkładu własnego - 3 pkt</w:t>
            </w:r>
          </w:p>
          <w:p w:rsidR="00E20591" w:rsidRPr="00E20591" w:rsidRDefault="00E20591" w:rsidP="00E2059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pow. 2 do 4 pkt. proc.  powyżej minimalnego poziomu wkładu własnego -4 pkt</w:t>
            </w:r>
          </w:p>
          <w:p w:rsidR="00E20591" w:rsidRPr="00E20591" w:rsidRDefault="00E20591" w:rsidP="00E2059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pow.4 pkt. proc.  powyżej minimalnego poziomu wkładu własnego - 5 pkt</w:t>
            </w:r>
          </w:p>
        </w:tc>
        <w:tc>
          <w:tcPr>
            <w:tcW w:w="4507" w:type="dxa"/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E20591" w:rsidRPr="00E20591" w:rsidTr="00BA2CA8">
        <w:tc>
          <w:tcPr>
            <w:tcW w:w="660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13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Ocenie podlega liczba nowoutworzonych miejsc pracy dla pracowników B+R. Zatrudniani pracownicy w działach B+R powinni wykazywać co najmniej wykształcenie wyższe adekwatne do dziedziny, w której realizowany jest projekt. 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eastAsia="Calibri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pow. 0 do 1 etatu B+R – 2 pkt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eastAsia="Calibri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E20591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lastRenderedPageBreak/>
              <w:t>pow. 1 do 2 etatów B+R – 3 pkt</w:t>
            </w:r>
          </w:p>
          <w:p w:rsidR="00E20591" w:rsidRPr="00E20591" w:rsidRDefault="00E20591" w:rsidP="00E205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4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pow. 2 etatów B+R – 4 pkt</w:t>
            </w:r>
          </w:p>
        </w:tc>
        <w:tc>
          <w:tcPr>
            <w:tcW w:w="4507" w:type="dxa"/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591" w:rsidRPr="00E20591" w:rsidTr="00BA2C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Ocenie podlega poziom innowacji infrastruktury powstałej w wyniku realizacji projektu (oceniane na podstawie załączonej do wniosku o dofinansowanie opinii o  innowacyjności).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- innowacja na poziomie regionalnym – 0 pkt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- innowacja na poziomie krajowym – 4 pkt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- innowacja na poziomie międzynarodowym 5 pkt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E20591" w:rsidRPr="00E20591" w:rsidTr="00BA2C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Ocenie podlega czy przedłożona </w:t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 razem z wnioskiem o dofinansowanie planowana agenda badawcza, która będzie realizowana przy wykorzystaniu infrastruktury dofinansowanej w ramach projektu opracowana została we współpracy z podmiotem oferującym usługi badawczo-rozwojowe/ naukowcem. 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0 pkt – agenda badawcza przygotowana została bez udziału podmiotów oferujących usługi badawczo-rozwojowe/ naukowców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-  agenda badawcza przygotowana została we współpracy z co najmniej  jednym podmiotem oferującym usługi badawczo-rozwojowe/ naukowcem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Weryfikacja dokonywana jest na podstawie załączonego do wniosku o dofinansowanie oświadczenia, iż naukowiec/podmiot uczestniczący w przygotowaniu agendy badawczej prowadzi działalność lub oferuje usługi badawczo-rozwojowe dotyczące dziedziny  B+R, w ramach której będzie wykorzystana nabywana infrastruktura”.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E20591" w:rsidRPr="00E20591" w:rsidTr="00BA2C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Gotowość projektu do realizacji 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Ocenie podlega</w:t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 zaawansowanie przygotowania projektu.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Default"/>
              <w:numPr>
                <w:ilvl w:val="0"/>
                <w:numId w:val="29"/>
              </w:numPr>
              <w:ind w:left="255" w:hanging="25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Projekt wymaga uzyskania decyzji budowlanych, ale jeszcze ich nie uzyskał lub uzyskał decyzje budowlane na mniej niż 50% wartości planowanych robót budowlanych – 0 pkt </w:t>
            </w:r>
          </w:p>
          <w:p w:rsidR="00E20591" w:rsidRPr="00E20591" w:rsidRDefault="00E20591" w:rsidP="00E20591">
            <w:pPr>
              <w:pStyle w:val="Default"/>
              <w:numPr>
                <w:ilvl w:val="0"/>
                <w:numId w:val="29"/>
              </w:numPr>
              <w:ind w:left="255" w:hanging="25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Projekt wymaga uzyskania decyzji budowlanych i uzyskał decyzje budowlane na min. 50% wartości planowanych robót budowlanych -2 pkt. </w:t>
            </w:r>
          </w:p>
          <w:p w:rsidR="00E20591" w:rsidRPr="00E20591" w:rsidRDefault="00E20591" w:rsidP="00E20591">
            <w:pPr>
              <w:pStyle w:val="Default"/>
              <w:numPr>
                <w:ilvl w:val="0"/>
                <w:numId w:val="29"/>
              </w:numPr>
              <w:ind w:left="255" w:hanging="25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Projekt wymaga uzyskania decyzji budowlanych i posiada wszystkie decyzje budowlane dla całego zakresu inwestycji – 5 pkt </w:t>
            </w:r>
          </w:p>
          <w:p w:rsidR="00E20591" w:rsidRPr="00E20591" w:rsidRDefault="00E20591" w:rsidP="00E20591">
            <w:pPr>
              <w:pStyle w:val="Default"/>
              <w:numPr>
                <w:ilvl w:val="0"/>
                <w:numId w:val="29"/>
              </w:numPr>
              <w:ind w:left="255" w:hanging="25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Projekt nie wymaga uzyskania decyzji budowlanych – 5 pkt 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Punkty w ramach kryterium nie sumują się.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E20591" w:rsidRPr="00E20591" w:rsidTr="00BA2C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</w:rPr>
              <w:t xml:space="preserve">Zgodność z Kluczowymi technologiami wspomagającymi (KET). </w:t>
            </w:r>
          </w:p>
          <w:p w:rsidR="00E20591" w:rsidRPr="00E20591" w:rsidRDefault="00E20591" w:rsidP="00E205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(na podstawie informacji zawartych w studium wykonalności/ biznes planie) czy projekt wpisuje się w Kluczowe technologie wspomagające (KET)</w:t>
            </w:r>
            <w:r w:rsidRPr="00E20591">
              <w:rPr>
                <w:rStyle w:val="Odwoanieprzypisudolnego"/>
                <w:rFonts w:cs="Arial"/>
                <w:sz w:val="18"/>
                <w:szCs w:val="18"/>
              </w:rPr>
              <w:footnoteReference w:id="5"/>
            </w:r>
            <w:r w:rsidRPr="00E20591">
              <w:rPr>
                <w:rFonts w:ascii="Arial" w:hAnsi="Arial" w:cs="Arial"/>
                <w:sz w:val="18"/>
                <w:szCs w:val="18"/>
              </w:rPr>
              <w:t xml:space="preserve">, do których należą: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mikro i nanoelektronika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materiały zaawansowane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biotechnologia przemysłowa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fotonika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- nanotechnologia </w:t>
            </w:r>
          </w:p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 xml:space="preserve">- zaawansowane systemy wytwarzania. 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0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0 pkt – projekt nie wpisuje się w KET </w:t>
            </w:r>
          </w:p>
          <w:p w:rsidR="00E20591" w:rsidRPr="00E20591" w:rsidRDefault="00E20591" w:rsidP="00E20591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0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Kryterium punktowe –przyznanie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0 lub 2 punkt (maksymalnie).</w:t>
            </w:r>
          </w:p>
        </w:tc>
      </w:tr>
      <w:tr w:rsidR="00E20591" w:rsidRPr="00E20591" w:rsidTr="00BA2C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Punkty przyznawane są następująco:</w:t>
            </w:r>
          </w:p>
          <w:p w:rsidR="00E20591" w:rsidRPr="00E20591" w:rsidRDefault="00E20591" w:rsidP="00E20591">
            <w:pPr>
              <w:pStyle w:val="Akapitzlist"/>
              <w:keepNext/>
              <w:keepLines/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25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 – 0 pkt</w:t>
            </w:r>
          </w:p>
          <w:p w:rsidR="00E20591" w:rsidRPr="00E20591" w:rsidRDefault="00E20591" w:rsidP="00E20591">
            <w:pPr>
              <w:pStyle w:val="Akapitzlist"/>
              <w:keepNext/>
              <w:keepLines/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25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realizowany w partnerstwie przez 2 przedsiębiorstwa – 3 pkt</w:t>
            </w:r>
          </w:p>
          <w:p w:rsidR="00E20591" w:rsidRPr="00E20591" w:rsidRDefault="00E20591" w:rsidP="00E20591">
            <w:pPr>
              <w:pStyle w:val="Akapitzlist"/>
              <w:keepNext/>
              <w:keepLines/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25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realizowany w partnerstwie przez więcej niż 2 przedsiębiorstwa  – 5 pkt</w:t>
            </w:r>
          </w:p>
          <w:p w:rsidR="00E20591" w:rsidRPr="00E20591" w:rsidRDefault="00E20591" w:rsidP="00E20591">
            <w:pPr>
              <w:pStyle w:val="Akapitzlist"/>
              <w:keepNext/>
              <w:keepLines/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25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realizowany we współpracy (w innej formie niż partnerstwo) z 1 przedsiębiorstwem – 2 pkt</w:t>
            </w:r>
          </w:p>
          <w:p w:rsidR="00E20591" w:rsidRPr="00E20591" w:rsidRDefault="00E20591" w:rsidP="00E20591">
            <w:pPr>
              <w:pStyle w:val="Akapitzlist"/>
              <w:keepNext/>
              <w:keepLines/>
              <w:numPr>
                <w:ilvl w:val="0"/>
                <w:numId w:val="30"/>
              </w:numPr>
              <w:tabs>
                <w:tab w:val="left" w:pos="255"/>
              </w:tabs>
              <w:autoSpaceDE w:val="0"/>
              <w:autoSpaceDN w:val="0"/>
              <w:adjustRightInd w:val="0"/>
              <w:ind w:left="255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realizowany we współpracy (w innej formie niż partnerstwo) z więcej niż 1 przedsiębiorstwem  – 3 pkt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E20591" w:rsidRPr="00E20591" w:rsidTr="00BA2C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E20591" w:rsidRPr="00E20591" w:rsidRDefault="00E20591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Maksymalna liczba punktów 34</w:t>
            </w:r>
          </w:p>
        </w:tc>
      </w:tr>
    </w:tbl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6379"/>
        <w:gridCol w:w="4394"/>
      </w:tblGrid>
      <w:tr w:rsidR="00E20591" w:rsidRPr="00E20591" w:rsidTr="00E20591">
        <w:trPr>
          <w:trHeight w:val="436"/>
        </w:trPr>
        <w:tc>
          <w:tcPr>
            <w:tcW w:w="14317" w:type="dxa"/>
            <w:gridSpan w:val="4"/>
            <w:shd w:val="clear" w:color="auto" w:fill="92CDDC"/>
            <w:vAlign w:val="center"/>
          </w:tcPr>
          <w:p w:rsidR="00E20591" w:rsidRPr="00E20591" w:rsidRDefault="00E20591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E20591" w:rsidRPr="00E20591" w:rsidTr="00E20591">
        <w:trPr>
          <w:trHeight w:val="414"/>
        </w:trPr>
        <w:tc>
          <w:tcPr>
            <w:tcW w:w="709" w:type="dxa"/>
            <w:shd w:val="clear" w:color="auto" w:fill="92CDDC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2CDDC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394" w:type="dxa"/>
            <w:shd w:val="clear" w:color="auto" w:fill="92CDDC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c>
          <w:tcPr>
            <w:tcW w:w="709" w:type="dxa"/>
            <w:vMerge w:val="restart"/>
            <w:vAlign w:val="center"/>
          </w:tcPr>
          <w:p w:rsidR="00E20591" w:rsidRPr="00E20591" w:rsidRDefault="00E20591" w:rsidP="00E2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E205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 kryterium wykorzystania nowoczesnych technologii informacyjno-komunikacyjnych (TIK),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projekt nie wykorzystuje nowoczesnych technologii informacyjno-komunikacyjnych (TIK)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dzięki projektowi przygotowane zostaną systemy informatyczne i zwiększy się zdolność do ich użytkowania i/lub nastąpi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usług telekomunikacyjnych do przekazywania i zdalnego przetwarzania informacji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Kryterium premiuje odprowadzanie przez 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E20591" w:rsidRPr="00E20591" w:rsidRDefault="00E20591" w:rsidP="00E20591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E20591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1 pkt – Wnioskodawca i partnerzy (jeśli dotyczy)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>zapewnili komunikację z interesariuszami projektu w powyższy sposób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E20591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E205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E20591" w:rsidRPr="00E20591" w:rsidTr="00E20591">
        <w:tc>
          <w:tcPr>
            <w:tcW w:w="709" w:type="dxa"/>
            <w:vAlign w:val="center"/>
          </w:tcPr>
          <w:p w:rsidR="00E20591" w:rsidRPr="00E20591" w:rsidRDefault="00E20591" w:rsidP="00E20591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5 pkt):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1 pkt –  projekt pełni łącznie z innymi projektami tę samą funkcję, dzięki czemu w pełni wykorzystywane </w:t>
            </w: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są możliwości istniejącej infrastruktury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E20591" w:rsidRPr="00E20591" w:rsidTr="00E205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E2059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E20591" w:rsidRPr="00E20591" w:rsidTr="00E205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Posiadany personel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czy Wnioskodawca (i partnerzy – jeśli dotyczy) dysponuje pracownikami B+R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Wnioskodawca (i/ lub partnerzy) nie dysponuje personelem B+R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1 pkt – Wnioskodawca (i/ lub partnerzy)  dysponuje personelem B+R</w:t>
            </w:r>
          </w:p>
        </w:tc>
      </w:tr>
      <w:tr w:rsidR="00E20591" w:rsidRPr="00E20591" w:rsidTr="00E205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E20591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Zwiększenie potencjału kadr B+R w przedsiębiorstwie.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wpływających na wzrost potencjału kadr B+R</w:t>
            </w:r>
          </w:p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2 pkt – w projekcie przewidziano działania wpływające na wzrost potencjału kadr B+R</w:t>
            </w:r>
          </w:p>
        </w:tc>
      </w:tr>
      <w:tr w:rsidR="00E20591" w:rsidRPr="00E20591" w:rsidTr="00E20591">
        <w:trPr>
          <w:trHeight w:val="280"/>
        </w:trPr>
        <w:tc>
          <w:tcPr>
            <w:tcW w:w="14317" w:type="dxa"/>
            <w:gridSpan w:val="4"/>
            <w:shd w:val="clear" w:color="auto" w:fill="B6DDE8"/>
            <w:vAlign w:val="center"/>
          </w:tcPr>
          <w:p w:rsidR="00E20591" w:rsidRPr="00E20591" w:rsidRDefault="00E20591" w:rsidP="00BA2CA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MAKSYMALNA LICZBA PUNKTÓW = 17</w:t>
            </w:r>
          </w:p>
        </w:tc>
      </w:tr>
    </w:tbl>
    <w:p w:rsidR="00E20591" w:rsidRDefault="00E20591" w:rsidP="00E20591"/>
    <w:p w:rsidR="005F7693" w:rsidRDefault="005F7693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Theme="minorHAnsi" w:hAnsiTheme="minorHAnsi" w:cs="Arial"/>
          <w:b/>
          <w:szCs w:val="20"/>
        </w:rPr>
      </w:pPr>
    </w:p>
    <w:sectPr w:rsidR="005F7693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07" w:rsidRDefault="000F0907" w:rsidP="00874EF2">
      <w:r>
        <w:separator/>
      </w:r>
    </w:p>
  </w:endnote>
  <w:endnote w:type="continuationSeparator" w:id="0">
    <w:p w:rsidR="000F0907" w:rsidRDefault="000F0907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6449DD">
      <w:rPr>
        <w:noProof/>
      </w:rPr>
      <w:t>1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07" w:rsidRDefault="000F0907" w:rsidP="00874EF2">
      <w:r>
        <w:separator/>
      </w:r>
    </w:p>
  </w:footnote>
  <w:footnote w:type="continuationSeparator" w:id="0">
    <w:p w:rsidR="000F0907" w:rsidRDefault="000F0907" w:rsidP="00874EF2">
      <w:r>
        <w:continuationSeparator/>
      </w:r>
    </w:p>
  </w:footnote>
  <w:footnote w:id="1">
    <w:p w:rsidR="00E20591" w:rsidRPr="0095652B" w:rsidRDefault="00E20591" w:rsidP="00E20591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E20591" w:rsidRPr="00436656" w:rsidRDefault="00E20591" w:rsidP="00E20591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436656">
        <w:rPr>
          <w:rStyle w:val="Odwoanieprzypisudolnego"/>
          <w:rFonts w:ascii="Calibri" w:hAnsi="Calibri"/>
          <w:sz w:val="18"/>
          <w:szCs w:val="18"/>
        </w:rPr>
        <w:footnoteRef/>
      </w:r>
      <w:r w:rsidRPr="00436656">
        <w:rPr>
          <w:sz w:val="18"/>
          <w:szCs w:val="18"/>
        </w:rPr>
        <w:t xml:space="preserve"> </w:t>
      </w:r>
      <w:r w:rsidRPr="00436656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436656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3">
    <w:p w:rsidR="00E20591" w:rsidRDefault="00E20591" w:rsidP="00E20591">
      <w:pPr>
        <w:pStyle w:val="Tekstprzypisudolnego"/>
        <w:ind w:firstLine="0"/>
      </w:pPr>
      <w:r w:rsidRPr="00436656">
        <w:rPr>
          <w:rStyle w:val="Odwoanieprzypisudolnego"/>
          <w:rFonts w:ascii="Calibri" w:hAnsi="Calibri"/>
          <w:sz w:val="18"/>
          <w:szCs w:val="18"/>
        </w:rPr>
        <w:footnoteRef/>
      </w:r>
      <w:r w:rsidRPr="00436656">
        <w:rPr>
          <w:rFonts w:ascii="Calibri" w:hAnsi="Calibri"/>
          <w:sz w:val="18"/>
          <w:szCs w:val="18"/>
        </w:rPr>
        <w:t xml:space="preserve"> Duże przedsiębiorstwo - </w:t>
      </w:r>
      <w:r w:rsidRPr="00436656">
        <w:rPr>
          <w:rFonts w:ascii="Calibri" w:hAnsi="Calibri" w:cs="Arial"/>
          <w:sz w:val="18"/>
          <w:szCs w:val="18"/>
        </w:rPr>
        <w:t xml:space="preserve">przedsiębiorstwo nie spełniające kryteriów, o których mowa w Załączniku I do </w:t>
      </w:r>
      <w:r w:rsidRPr="00436656">
        <w:rPr>
          <w:rFonts w:ascii="Calibri" w:hAnsi="Calibri"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  <w:footnote w:id="4">
    <w:p w:rsidR="00E20591" w:rsidRPr="00436656" w:rsidRDefault="00E20591" w:rsidP="00E20591">
      <w:pPr>
        <w:pStyle w:val="Default"/>
        <w:ind w:firstLine="0"/>
        <w:jc w:val="both"/>
        <w:rPr>
          <w:rFonts w:eastAsia="Calibri" w:cs="Arial"/>
          <w:sz w:val="18"/>
          <w:szCs w:val="18"/>
          <w:lang w:eastAsia="en-US"/>
        </w:rPr>
      </w:pPr>
      <w:r w:rsidRPr="00436656">
        <w:rPr>
          <w:rStyle w:val="Odwoanieprzypisudolnego"/>
          <w:sz w:val="18"/>
          <w:szCs w:val="18"/>
        </w:rPr>
        <w:footnoteRef/>
      </w:r>
      <w:r w:rsidRPr="00436656">
        <w:rPr>
          <w:sz w:val="18"/>
          <w:szCs w:val="18"/>
        </w:rPr>
        <w:t xml:space="preserve"> Dyfuzja rozumiana jest jako r</w:t>
      </w:r>
      <w:r w:rsidRPr="00436656">
        <w:rPr>
          <w:rFonts w:cs="Arial"/>
          <w:sz w:val="18"/>
          <w:szCs w:val="18"/>
        </w:rPr>
        <w:t xml:space="preserve">ozprzestrzenianie się nowego pomysłu od źródła, gdzie został wynaleziony lub stworzony, do jego ostatecznych użytkowników lub tych, którzy go akceptują. Dyfuzja dotyczy również grupy osób, społeczności lub społeczeństwa i wskazuje, w jaki sposób pomysł upowszechnia się wśród konsumentów. Dyfuzja zapewniona może zostać m.in. poprzez </w:t>
      </w:r>
      <w:r w:rsidRPr="00436656">
        <w:rPr>
          <w:rFonts w:eastAsia="Calibri" w:cs="Arial"/>
          <w:sz w:val="18"/>
          <w:szCs w:val="18"/>
          <w:lang w:eastAsia="en-US"/>
        </w:rPr>
        <w:t xml:space="preserve">współpracę z MŚP lub NGO lub organizacjami badawczymi w zakresie działalności B+R związanej z realizowanym projektem </w:t>
      </w:r>
    </w:p>
    <w:p w:rsidR="00E20591" w:rsidRPr="00436656" w:rsidRDefault="00E20591" w:rsidP="00E20591">
      <w:pPr>
        <w:suppressAutoHyphens/>
        <w:spacing w:before="120" w:line="26" w:lineRule="atLeast"/>
        <w:jc w:val="both"/>
        <w:rPr>
          <w:rFonts w:cs="Arial"/>
          <w:sz w:val="18"/>
          <w:szCs w:val="18"/>
        </w:rPr>
      </w:pPr>
    </w:p>
    <w:p w:rsidR="00E20591" w:rsidRDefault="00E20591" w:rsidP="00E20591">
      <w:pPr>
        <w:pStyle w:val="Tekstprzypisudolnego"/>
        <w:ind w:firstLine="0"/>
      </w:pPr>
    </w:p>
  </w:footnote>
  <w:footnote w:id="5">
    <w:p w:rsidR="00E20591" w:rsidRPr="00436656" w:rsidRDefault="00E20591" w:rsidP="00E20591">
      <w:pPr>
        <w:pStyle w:val="Tekstprzypisudolnego"/>
        <w:ind w:firstLine="0"/>
        <w:rPr>
          <w:rFonts w:ascii="Calibri" w:hAnsi="Calibri"/>
          <w:sz w:val="20"/>
        </w:rPr>
      </w:pPr>
      <w:r w:rsidRPr="00436656">
        <w:rPr>
          <w:rStyle w:val="Odwoanieprzypisudolnego"/>
          <w:rFonts w:ascii="Calibri" w:hAnsi="Calibri"/>
          <w:sz w:val="20"/>
        </w:rPr>
        <w:footnoteRef/>
      </w:r>
      <w:r w:rsidRPr="00436656">
        <w:rPr>
          <w:rFonts w:ascii="Calibri" w:hAnsi="Calibri"/>
          <w:sz w:val="20"/>
        </w:rPr>
        <w:t xml:space="preserve"> Kluczowe technologie wspomagające (KET) zostały określone w Komunikacie Komisji Europejskiej z 2009 r. COM(2009) 512/3 z późn. zm.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2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9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4"/>
  </w:num>
  <w:num w:numId="4">
    <w:abstractNumId w:val="13"/>
  </w:num>
  <w:num w:numId="5">
    <w:abstractNumId w:val="12"/>
  </w:num>
  <w:num w:numId="6">
    <w:abstractNumId w:val="20"/>
  </w:num>
  <w:num w:numId="7">
    <w:abstractNumId w:val="29"/>
  </w:num>
  <w:num w:numId="8">
    <w:abstractNumId w:val="15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16"/>
  </w:num>
  <w:num w:numId="13">
    <w:abstractNumId w:val="14"/>
  </w:num>
  <w:num w:numId="14">
    <w:abstractNumId w:val="2"/>
  </w:num>
  <w:num w:numId="15">
    <w:abstractNumId w:val="7"/>
  </w:num>
  <w:num w:numId="16">
    <w:abstractNumId w:val="5"/>
  </w:num>
  <w:num w:numId="17">
    <w:abstractNumId w:val="22"/>
  </w:num>
  <w:num w:numId="18">
    <w:abstractNumId w:val="25"/>
  </w:num>
  <w:num w:numId="19">
    <w:abstractNumId w:val="23"/>
  </w:num>
  <w:num w:numId="20">
    <w:abstractNumId w:val="11"/>
  </w:num>
  <w:num w:numId="21">
    <w:abstractNumId w:val="30"/>
  </w:num>
  <w:num w:numId="22">
    <w:abstractNumId w:val="27"/>
  </w:num>
  <w:num w:numId="23">
    <w:abstractNumId w:val="17"/>
  </w:num>
  <w:num w:numId="24">
    <w:abstractNumId w:val="6"/>
  </w:num>
  <w:num w:numId="25">
    <w:abstractNumId w:val="10"/>
  </w:num>
  <w:num w:numId="26">
    <w:abstractNumId w:val="9"/>
  </w:num>
  <w:num w:numId="27">
    <w:abstractNumId w:val="26"/>
  </w:num>
  <w:num w:numId="28">
    <w:abstractNumId w:val="18"/>
  </w:num>
  <w:num w:numId="29">
    <w:abstractNumId w:val="1"/>
  </w:num>
  <w:num w:numId="30">
    <w:abstractNumId w:val="0"/>
  </w:num>
  <w:num w:numId="31">
    <w:abstractNumId w:val="24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813BD"/>
    <w:rsid w:val="000820F2"/>
    <w:rsid w:val="00090870"/>
    <w:rsid w:val="000B7BC1"/>
    <w:rsid w:val="000C1C1C"/>
    <w:rsid w:val="000D2172"/>
    <w:rsid w:val="000D2732"/>
    <w:rsid w:val="000F0907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5DA5"/>
    <w:rsid w:val="001B30F0"/>
    <w:rsid w:val="001B64E3"/>
    <w:rsid w:val="001D58BC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CE0"/>
    <w:rsid w:val="00311C3C"/>
    <w:rsid w:val="0031474B"/>
    <w:rsid w:val="0034123A"/>
    <w:rsid w:val="00352AD2"/>
    <w:rsid w:val="00360214"/>
    <w:rsid w:val="00363BB3"/>
    <w:rsid w:val="00371B31"/>
    <w:rsid w:val="0037309D"/>
    <w:rsid w:val="00381135"/>
    <w:rsid w:val="00381566"/>
    <w:rsid w:val="003B1B9D"/>
    <w:rsid w:val="003B692C"/>
    <w:rsid w:val="003E032B"/>
    <w:rsid w:val="003E15DC"/>
    <w:rsid w:val="003F6E05"/>
    <w:rsid w:val="00410646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50230C"/>
    <w:rsid w:val="005044BE"/>
    <w:rsid w:val="00506E8D"/>
    <w:rsid w:val="00507FF8"/>
    <w:rsid w:val="0051075F"/>
    <w:rsid w:val="00516BE9"/>
    <w:rsid w:val="00520171"/>
    <w:rsid w:val="005324BB"/>
    <w:rsid w:val="00534B35"/>
    <w:rsid w:val="00537E79"/>
    <w:rsid w:val="00564D4F"/>
    <w:rsid w:val="00565DA7"/>
    <w:rsid w:val="00581B49"/>
    <w:rsid w:val="00596340"/>
    <w:rsid w:val="005B51C6"/>
    <w:rsid w:val="005E7D29"/>
    <w:rsid w:val="005F7693"/>
    <w:rsid w:val="00606E54"/>
    <w:rsid w:val="006072E5"/>
    <w:rsid w:val="00607601"/>
    <w:rsid w:val="00617E6B"/>
    <w:rsid w:val="0063180E"/>
    <w:rsid w:val="00634468"/>
    <w:rsid w:val="006449DD"/>
    <w:rsid w:val="0065040F"/>
    <w:rsid w:val="00662692"/>
    <w:rsid w:val="006634D1"/>
    <w:rsid w:val="0066361F"/>
    <w:rsid w:val="006720A4"/>
    <w:rsid w:val="00686D4F"/>
    <w:rsid w:val="006918E7"/>
    <w:rsid w:val="006C33AF"/>
    <w:rsid w:val="006D4B9F"/>
    <w:rsid w:val="006E2DB1"/>
    <w:rsid w:val="006E681D"/>
    <w:rsid w:val="00705912"/>
    <w:rsid w:val="00715B52"/>
    <w:rsid w:val="00735573"/>
    <w:rsid w:val="007654A5"/>
    <w:rsid w:val="007B5A7B"/>
    <w:rsid w:val="007E109F"/>
    <w:rsid w:val="007E1DE7"/>
    <w:rsid w:val="007F1D67"/>
    <w:rsid w:val="007F2317"/>
    <w:rsid w:val="007F2E42"/>
    <w:rsid w:val="007F53C0"/>
    <w:rsid w:val="007F7674"/>
    <w:rsid w:val="00820EFC"/>
    <w:rsid w:val="00825737"/>
    <w:rsid w:val="00826D61"/>
    <w:rsid w:val="0082711F"/>
    <w:rsid w:val="008477B4"/>
    <w:rsid w:val="008533C1"/>
    <w:rsid w:val="00864BEE"/>
    <w:rsid w:val="00874EF2"/>
    <w:rsid w:val="008A209C"/>
    <w:rsid w:val="008A3683"/>
    <w:rsid w:val="008B4416"/>
    <w:rsid w:val="008C1372"/>
    <w:rsid w:val="008D0E31"/>
    <w:rsid w:val="009011EC"/>
    <w:rsid w:val="009174A2"/>
    <w:rsid w:val="0093550C"/>
    <w:rsid w:val="00941025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A24DF3"/>
    <w:rsid w:val="00A5343F"/>
    <w:rsid w:val="00A53B4A"/>
    <w:rsid w:val="00A60A4F"/>
    <w:rsid w:val="00A654BB"/>
    <w:rsid w:val="00AA3269"/>
    <w:rsid w:val="00AA47DD"/>
    <w:rsid w:val="00AB6628"/>
    <w:rsid w:val="00AC35A0"/>
    <w:rsid w:val="00AC39BC"/>
    <w:rsid w:val="00AD10B4"/>
    <w:rsid w:val="00AD4352"/>
    <w:rsid w:val="00AE4C18"/>
    <w:rsid w:val="00B0507D"/>
    <w:rsid w:val="00B13B7E"/>
    <w:rsid w:val="00B17745"/>
    <w:rsid w:val="00B21D20"/>
    <w:rsid w:val="00B2520D"/>
    <w:rsid w:val="00B52D0B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64E5E"/>
    <w:rsid w:val="00C72811"/>
    <w:rsid w:val="00C9523D"/>
    <w:rsid w:val="00CA25D2"/>
    <w:rsid w:val="00CB666A"/>
    <w:rsid w:val="00CC2E6F"/>
    <w:rsid w:val="00CC6D3F"/>
    <w:rsid w:val="00CE00F6"/>
    <w:rsid w:val="00D04415"/>
    <w:rsid w:val="00D269BE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20591"/>
    <w:rsid w:val="00E61846"/>
    <w:rsid w:val="00E67880"/>
    <w:rsid w:val="00E75CE6"/>
    <w:rsid w:val="00E831D0"/>
    <w:rsid w:val="00E833AB"/>
    <w:rsid w:val="00EA02BC"/>
    <w:rsid w:val="00EA6739"/>
    <w:rsid w:val="00EC2AB5"/>
    <w:rsid w:val="00ED4071"/>
    <w:rsid w:val="00EE6980"/>
    <w:rsid w:val="00F17EA9"/>
    <w:rsid w:val="00F23A18"/>
    <w:rsid w:val="00F37434"/>
    <w:rsid w:val="00F60139"/>
    <w:rsid w:val="00F721A7"/>
    <w:rsid w:val="00F73886"/>
    <w:rsid w:val="00F9010E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4539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10</cp:revision>
  <cp:lastPrinted>2017-02-27T11:46:00Z</cp:lastPrinted>
  <dcterms:created xsi:type="dcterms:W3CDTF">2017-11-21T06:37:00Z</dcterms:created>
  <dcterms:modified xsi:type="dcterms:W3CDTF">2018-01-26T06:39:00Z</dcterms:modified>
</cp:coreProperties>
</file>