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83" w:rsidRPr="00B61F83" w:rsidRDefault="00185886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12 </w:t>
      </w:r>
      <w:r w:rsidR="00B61F83" w:rsidRPr="00B61F83">
        <w:rPr>
          <w:rFonts w:ascii="Arial" w:eastAsia="Times New Roman" w:hAnsi="Arial" w:cs="Arial"/>
          <w:sz w:val="18"/>
          <w:szCs w:val="18"/>
          <w:lang w:eastAsia="pl-PL"/>
        </w:rPr>
        <w:t xml:space="preserve"> do Regulaminu</w:t>
      </w:r>
    </w:p>
    <w:p w:rsidR="00B61F83" w:rsidRPr="00B61F83" w:rsidRDefault="00B61F83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konkursu nr RPWM.01.0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-I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65257C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-28-00</w:t>
      </w:r>
      <w:r w:rsidR="0033710B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2570EC">
        <w:rPr>
          <w:rFonts w:ascii="Arial" w:eastAsia="Times New Roman" w:hAnsi="Arial" w:cs="Arial"/>
          <w:sz w:val="18"/>
          <w:szCs w:val="18"/>
          <w:lang w:eastAsia="pl-PL"/>
        </w:rPr>
        <w:t>/17</w:t>
      </w:r>
    </w:p>
    <w:p w:rsidR="00B61F83" w:rsidRPr="00B61F83" w:rsidRDefault="00B61F83" w:rsidP="00B61F83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3D04C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20B8C">
        <w:rPr>
          <w:rFonts w:ascii="Arial" w:eastAsia="Times New Roman" w:hAnsi="Arial" w:cs="Arial"/>
          <w:sz w:val="18"/>
          <w:szCs w:val="18"/>
          <w:lang w:eastAsia="pl-PL"/>
        </w:rPr>
        <w:t>25.08.</w:t>
      </w:r>
      <w:r w:rsidR="003D04CF" w:rsidRPr="003D04CF">
        <w:rPr>
          <w:rFonts w:ascii="Arial" w:eastAsia="Times New Roman" w:hAnsi="Arial" w:cs="Arial"/>
          <w:sz w:val="18"/>
          <w:szCs w:val="18"/>
          <w:lang w:eastAsia="pl-PL"/>
        </w:rPr>
        <w:t xml:space="preserve">2017 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r.</w:t>
      </w:r>
    </w:p>
    <w:p w:rsidR="00B61F83" w:rsidRDefault="00B61F83" w:rsidP="00B61F8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Karta z definicjami kryteriów wyboru wraz z wymogami formalnymi w ramach w  ramach  Działania  1.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Innowacyjne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firmy Poddziałania 1.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B56EF" w:rsidRPr="009B56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Działalność B+R </w:t>
      </w:r>
      <w:r w:rsidR="008F4B5C">
        <w:rPr>
          <w:rFonts w:ascii="Arial" w:eastAsia="Times New Roman" w:hAnsi="Arial" w:cs="Arial"/>
          <w:b/>
          <w:sz w:val="24"/>
          <w:szCs w:val="24"/>
          <w:lang w:eastAsia="pl-PL"/>
        </w:rPr>
        <w:t>przedsiębiorstw (typ 2</w:t>
      </w:r>
      <w:r w:rsidR="009B56EF" w:rsidRPr="009B56EF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</w:t>
      </w:r>
      <w:bookmarkStart w:id="0" w:name="_GoBack"/>
      <w:bookmarkEnd w:id="0"/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ramach Regionalnego Programu Operacyjnego Województwa Warmińsko-Mazurskiego na lata 2014-2020</w:t>
      </w:r>
    </w:p>
    <w:p w:rsidR="009B56EF" w:rsidRPr="009B56EF" w:rsidRDefault="009B56EF" w:rsidP="009B56E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9B56EF" w:rsidRPr="009B56EF" w:rsidTr="008A79C3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  <w:t>WYMOGI FORMALNE WYBORU PROJEKTÓW KONKURSOWYCH W RAMACH REGIONALNEGO PROGRAMU OPERACYJNEGO WOJEWÓDZTWA WARMIŃSKO-MAZURSKIEGO NA LATA 2014-2020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Cs/>
                <w:i/>
                <w:sz w:val="24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i/>
                <w:szCs w:val="24"/>
                <w:lang w:eastAsia="pl-PL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9B56EF" w:rsidRPr="009B56EF" w:rsidTr="008A79C3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Nazwa wymogu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Definicja wymogu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strike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eastAsia="pl-PL"/>
              </w:rPr>
              <w:t>Opis wymogu</w:t>
            </w:r>
          </w:p>
        </w:tc>
      </w:tr>
      <w:tr w:rsidR="009B56EF" w:rsidRPr="009B56EF" w:rsidTr="008A79C3">
        <w:trPr>
          <w:trHeight w:val="1247"/>
        </w:trPr>
        <w:tc>
          <w:tcPr>
            <w:tcW w:w="204" w:type="pct"/>
            <w:vMerge/>
            <w:shd w:val="clear" w:color="auto" w:fill="B2A1C7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Arial"/>
                <w:b/>
                <w:strike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rPr>
          <w:trHeight w:val="1576"/>
        </w:trPr>
        <w:tc>
          <w:tcPr>
            <w:tcW w:w="204" w:type="pc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77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wniosku</w:t>
            </w:r>
          </w:p>
        </w:tc>
        <w:tc>
          <w:tcPr>
            <w:tcW w:w="2082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 zerojedynkowy.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</w:tc>
      </w:tr>
      <w:tr w:rsidR="009B56EF" w:rsidRPr="009B56EF" w:rsidTr="008A79C3">
        <w:trPr>
          <w:trHeight w:val="558"/>
        </w:trPr>
        <w:tc>
          <w:tcPr>
            <w:tcW w:w="204" w:type="pc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77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załączników</w:t>
            </w:r>
          </w:p>
        </w:tc>
        <w:tc>
          <w:tcPr>
            <w:tcW w:w="2082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637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zerojedynkowy.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center"/>
        <w:outlineLvl w:val="1"/>
        <w:rPr>
          <w:rFonts w:ascii="Calibri" w:eastAsia="Times New Roman" w:hAnsi="Calibri" w:cs="Calibri"/>
          <w:sz w:val="20"/>
          <w:lang w:eastAsia="pl-PL"/>
        </w:rPr>
      </w:pPr>
      <w:r w:rsidRPr="009B56EF">
        <w:rPr>
          <w:rFonts w:ascii="Arial" w:eastAsia="Times New Roman" w:hAnsi="Arial" w:cs="Arial"/>
          <w:b/>
          <w:lang w:eastAsia="pl-PL"/>
        </w:rPr>
        <w:br w:type="page"/>
      </w: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9B56EF" w:rsidRPr="009B56EF" w:rsidTr="008A79C3">
        <w:tc>
          <w:tcPr>
            <w:tcW w:w="14318" w:type="dxa"/>
            <w:gridSpan w:val="4"/>
            <w:shd w:val="clear" w:color="auto" w:fill="B2A1C7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  <w:lastRenderedPageBreak/>
              <w:t>KRYTERIA FORMALNE WYBORU PROJEKTÓW (OBLIGATORYJNE)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8"/>
                <w:lang w:eastAsia="pl-PL"/>
              </w:rPr>
              <w:t>Projekty niespełniające kryteriów formalnych są odrzucane i nie podlegają dalszej ocenie.</w:t>
            </w:r>
          </w:p>
        </w:tc>
      </w:tr>
      <w:tr w:rsidR="009B56EF" w:rsidRPr="009B56EF" w:rsidTr="008A79C3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7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  <w:t xml:space="preserve">Opis </w:t>
            </w:r>
            <w:r w:rsidRPr="009B56EF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</w:rPr>
              <w:t>kryterium</w:t>
            </w:r>
          </w:p>
        </w:tc>
      </w:tr>
      <w:tr w:rsidR="009B56EF" w:rsidRPr="009B56EF" w:rsidTr="008A79C3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Niepodleganie wykluczeniu z  możliwości ubiegania się o dofinansowanie ze środków UE na podstawie odrębnych przepisów.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Wnioskodawca oraz partnerzy (o ile dotyczy) nie podlegają wykluczeniu z możliwości otrzymania dofinansowania, w tym wykluczeniu, o którym mowa w: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ustawie z dnia 27 sierpnia 2009 r. o finansach publicznych;</w:t>
            </w:r>
          </w:p>
          <w:p w:rsidR="009B56EF" w:rsidRPr="009B56EF" w:rsidRDefault="009B56EF" w:rsidP="009B56EF">
            <w:pPr>
              <w:suppressAutoHyphens/>
              <w:autoSpaceDN w:val="0"/>
              <w:spacing w:after="0" w:line="240" w:lineRule="auto"/>
              <w:ind w:left="272" w:hanging="272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-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ustawie z dnia 15 czerwca 2012 r. o skutkach powierzania wykonywania pracy cudzoziemcom przebywającym wbrew przepisom na terytorium Rzeczpospolitej Polskiej;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1"/>
              </w:numPr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ustawie z dnia 28 października 2002 r. o odpowiedzialności podmiotów zbiorowych za czyny zabronione pod groźbą kary.</w:t>
            </w:r>
          </w:p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projektu oraz poziom dofinansowania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Wartość projektu i jego poziom dofinansowania są zgodne z minimalną i maksymalną wartością projektu oraz minimalnym i maksymalnym poziomem dofinansowania obowiązującymi dla danego działania/poddziałania/typu projektu/ beneficjenta określonymi w SZOOP i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Weryfikowane będzie spełnienie przez Wnioskodawcę wymogów w zakresie utworzenia partnerstwa zgodnie z ustawą wdrożeniową.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 albo stwierdzeniu, że kryterium nie dotyczy danego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Uprawnienie podmiotu do ubiegania się o dofinansowanie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Poprawne zastosowanie 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Weryfikowane będzie czy  warunki i planowany zakres stosowania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nie przekraczają poziomu wskazanego w pkt 15 SZOOP „Warunki i planowany zakres stosowania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(%)”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 xml:space="preserve">Spełnienie kryterium jest konieczne do przyznania dofinansowania. 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Obszar realizacji projektu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Weryfikowane będzie czy wskazany obszar realizacji projektu jest zgodny ze wskazanym w  SZOOP  i regulaminie.  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„tak”, „nie” albo stwierdzeniu, że kryterium nie dotyczy danego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 xml:space="preserve">Spełnienie kryterium jest konieczne do przyznania dofinansowania.  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6379"/>
        <w:gridCol w:w="4536"/>
      </w:tblGrid>
      <w:tr w:rsidR="009B56EF" w:rsidRPr="009B56EF" w:rsidTr="008A79C3">
        <w:trPr>
          <w:trHeight w:val="416"/>
        </w:trPr>
        <w:tc>
          <w:tcPr>
            <w:tcW w:w="14387" w:type="dxa"/>
            <w:gridSpan w:val="4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OGÓLNE WYBORU PROJEKTÓW (OBLIGATORYJNE)*</w:t>
            </w:r>
          </w:p>
        </w:tc>
      </w:tr>
      <w:tr w:rsidR="009B56EF" w:rsidRPr="009B56EF" w:rsidTr="008A79C3">
        <w:trPr>
          <w:trHeight w:val="414"/>
        </w:trPr>
        <w:tc>
          <w:tcPr>
            <w:tcW w:w="637" w:type="dxa"/>
            <w:shd w:val="clear" w:color="auto" w:fill="B2A1C7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Możliwość uzyskania dofinansowania przez projekt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kobiet i mężczyzn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lub neutralny wpływ projektu na zasadę horyzontalną UE: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Weryfikowany będzie pozytywny lub neutralny wpływ projektu na zasadę horyzontalną UE </w:t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zrównoważony rozwój.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Sprawdzane będzie:</w:t>
            </w:r>
          </w:p>
          <w:p w:rsidR="009B56EF" w:rsidRPr="009B56EF" w:rsidRDefault="009B56EF" w:rsidP="009B56EF">
            <w:pPr>
              <w:numPr>
                <w:ilvl w:val="0"/>
                <w:numId w:val="21"/>
              </w:numPr>
              <w:spacing w:after="0" w:line="240" w:lineRule="auto"/>
              <w:ind w:left="356" w:hanging="284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27 kwietnia 2001 r. Prawo ochrony środowiska,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16 kwietnia 2004 r. o ochronie przyrody,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ustawą z dnia 18 lipca 2001 r. Prawo wodne </w:t>
            </w:r>
          </w:p>
          <w:p w:rsidR="009B56EF" w:rsidRPr="009B56EF" w:rsidRDefault="009B56EF" w:rsidP="009B56EF">
            <w:pPr>
              <w:numPr>
                <w:ilvl w:val="0"/>
                <w:numId w:val="21"/>
              </w:numPr>
              <w:spacing w:after="0" w:line="240" w:lineRule="auto"/>
              <w:ind w:left="356" w:hanging="284"/>
              <w:contextualSpacing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Calibri" w:hAnsi="Calibri" w:cs="Times New Roman"/>
                <w:bCs/>
                <w:sz w:val="20"/>
                <w:szCs w:val="20"/>
                <w:lang w:eastAsia="pl-PL"/>
              </w:rPr>
              <w:t>Neutralny wpływ projektu na zasadę horyzontalną jest spełnieniem kryterium.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Zamówienia publiczne i konkurencyjność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Weryfikowana będzie zgodność założeń projektu z przepisami ustawy prawo zamówień publicznych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lastRenderedPageBreak/>
              <w:t>Ocena spełniania kryteriów  polega na przypisaniu im wartości logicznych „tak” lub „nie”.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Pomoc publiczna i pomoc de </w:t>
            </w:r>
            <w:proofErr w:type="spellStart"/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minimis</w:t>
            </w:r>
            <w:proofErr w:type="spellEnd"/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Weryfikowana będzie zgodność zapisów we wniosku o dofinansowanie projektu z zasadami pomocy publicznej/ pomocy de </w:t>
            </w:r>
            <w:proofErr w:type="spellStart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w odniesieniu do wnioskodawcy, form wsparcia, wydatków, jak również oceniana będzie możliwość udzielenia w ramach projektu pomocy publicznej/ pomocy de </w:t>
            </w:r>
            <w:proofErr w:type="spellStart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, uwzględniając reguły ogólne jej przyznawania oraz warunki jej dopuszczalności w danym typie projektu.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(jeśli dotyczy)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Ocena spełniania kryteriów  polega na przypisaniu im wartości logicznych „tak” lub „nie” </w:t>
            </w:r>
            <w:r w:rsidRPr="009B56EF">
              <w:rPr>
                <w:rFonts w:ascii="Calibri" w:eastAsia="Calibri" w:hAnsi="Calibri" w:cs="Arial"/>
                <w:bCs/>
                <w:sz w:val="20"/>
                <w:szCs w:val="20"/>
                <w:lang w:eastAsia="pl-PL"/>
              </w:rPr>
              <w:t xml:space="preserve"> albo stwierdzeniu, że kryterium nie dotyczy danego projektu</w:t>
            </w: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Wykonalność techniczna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7" w:type="dxa"/>
            <w:vMerge w:val="restar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835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Trwałość projektu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Wskaźniki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poprawność merytoryczna wskaźników.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im wartości logicznych „tak” lub „nie”. 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9B56EF" w:rsidRPr="009B56EF" w:rsidTr="008A79C3">
        <w:tc>
          <w:tcPr>
            <w:tcW w:w="14459" w:type="dxa"/>
            <w:gridSpan w:val="4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SPECYFICZNE (OBLIGATORYJNE)*</w:t>
            </w:r>
          </w:p>
        </w:tc>
      </w:tr>
      <w:tr w:rsidR="009B56EF" w:rsidRPr="009B56EF" w:rsidTr="008A79C3">
        <w:trPr>
          <w:trHeight w:val="244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rPr>
          <w:trHeight w:val="244"/>
        </w:trPr>
        <w:tc>
          <w:tcPr>
            <w:tcW w:w="710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wykazuje wpływ na rozwój co najmniej jednej inteligentnej specjalizacji województwa warmińsko-mazurskiego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8F4B5C" w:rsidP="008F4B5C">
            <w:pPr>
              <w:suppressAutoHyphens/>
              <w:spacing w:after="0" w:line="240" w:lineRule="auto"/>
              <w:ind w:left="260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8F4B5C">
              <w:rPr>
                <w:rFonts w:ascii="Arial" w:eastAsia="Times New Roman" w:hAnsi="Arial" w:cs="Times New Roman"/>
                <w:bCs/>
                <w:sz w:val="20"/>
                <w:lang w:eastAsia="pl-PL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w Strategii rozwoju społeczno-gospodarczego województwa warmińsko-mazurskiego do roku 2025. Wpływ na rozwój inteligentnych specjalizacji rozumiany jest jako spełnienie co najmniej dwóch z poniższych warunków: − wpływ na eliminowanie negatywnego wpływu zagrożeń i/lub wpływ na wykorzystanie szans zdiagnozowanych w analizie SWOT dla danej inteligentnej specjalizacji − wpływ na wzmocnienie silnych </w:t>
            </w:r>
            <w:r w:rsidRPr="008F4B5C">
              <w:rPr>
                <w:rFonts w:ascii="Arial" w:eastAsia="Times New Roman" w:hAnsi="Arial" w:cs="Times New Roman"/>
                <w:bCs/>
                <w:sz w:val="20"/>
                <w:lang w:eastAsia="pl-PL"/>
              </w:rPr>
              <w:lastRenderedPageBreak/>
              <w:t>stron i/lub eliminację słabych stron zdiagnozowanych w analizie SWOT dla dane</w:t>
            </w:r>
            <w:r>
              <w:rPr>
                <w:rFonts w:ascii="Arial" w:eastAsia="Times New Roman" w:hAnsi="Arial" w:cs="Times New Roman"/>
                <w:bCs/>
                <w:sz w:val="20"/>
                <w:lang w:eastAsia="pl-PL"/>
              </w:rPr>
              <w:t>j inteligentnej specjalizacji</w:t>
            </w:r>
            <w:r>
              <w:rPr>
                <w:rStyle w:val="Odwoanieprzypisudolnego"/>
                <w:rFonts w:eastAsia="Times New Roman"/>
                <w:bCs/>
                <w:lang w:eastAsia="pl-PL"/>
              </w:rPr>
              <w:footnoteReference w:id="1"/>
            </w:r>
            <w:r w:rsidRPr="008F4B5C">
              <w:rPr>
                <w:rFonts w:ascii="Arial" w:eastAsia="Times New Roman" w:hAnsi="Arial" w:cs="Times New Roman"/>
                <w:bCs/>
                <w:sz w:val="20"/>
                <w:lang w:eastAsia="pl-PL"/>
              </w:rPr>
              <w:t xml:space="preserve"> − dyfuzję wyników projektu na więcej niż jeden podmiot działający w obszarze danej inteligentnej specjalizacji − stworzenie w wyniku projektu możliwości eksportowych w ramach danej specjalizacji i/lub generowanie potencjalnego wzrostu współpracy w eu</w:t>
            </w:r>
            <w:r>
              <w:rPr>
                <w:rFonts w:ascii="Arial" w:eastAsia="Times New Roman" w:hAnsi="Arial" w:cs="Times New Roman"/>
                <w:bCs/>
                <w:sz w:val="20"/>
                <w:lang w:eastAsia="pl-PL"/>
              </w:rPr>
              <w:t>ropejskich łańcuchach wartości</w:t>
            </w:r>
            <w:r>
              <w:rPr>
                <w:rStyle w:val="Odwoanieprzypisudolnego"/>
                <w:rFonts w:eastAsia="Times New Roman"/>
                <w:bCs/>
                <w:lang w:eastAsia="pl-PL"/>
              </w:rPr>
              <w:footnoteReference w:id="2"/>
            </w:r>
            <w:r w:rsidRPr="008F4B5C">
              <w:rPr>
                <w:rFonts w:ascii="Arial" w:eastAsia="Times New Roman" w:hAnsi="Arial" w:cs="Times New Roman"/>
                <w:bCs/>
                <w:sz w:val="20"/>
                <w:lang w:eastAsia="pl-PL"/>
              </w:rPr>
              <w:t xml:space="preserve"> − wpływ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im wartości logicznych „tak” lub „nie”.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8F4B5C" w:rsidRPr="009B56EF" w:rsidTr="008A79C3">
        <w:trPr>
          <w:trHeight w:val="490"/>
        </w:trPr>
        <w:tc>
          <w:tcPr>
            <w:tcW w:w="710" w:type="dxa"/>
            <w:vAlign w:val="center"/>
          </w:tcPr>
          <w:p w:rsidR="008F4B5C" w:rsidRPr="009B56EF" w:rsidRDefault="008F4B5C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8F4B5C" w:rsidRPr="008F4B5C" w:rsidRDefault="008F4B5C" w:rsidP="008F4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obejmuje pierwszą</w:t>
            </w:r>
          </w:p>
          <w:p w:rsidR="008F4B5C" w:rsidRPr="008F4B5C" w:rsidRDefault="008F4B5C" w:rsidP="008F4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produkcję wraz z</w:t>
            </w:r>
          </w:p>
          <w:p w:rsidR="008F4B5C" w:rsidRPr="008F4B5C" w:rsidRDefault="008F4B5C" w:rsidP="008F4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wcześniejszymi etapami (prace</w:t>
            </w:r>
          </w:p>
          <w:p w:rsidR="008F4B5C" w:rsidRPr="008F4B5C" w:rsidRDefault="008F4B5C" w:rsidP="008F4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rozwojowe, faza demonstracji,</w:t>
            </w:r>
          </w:p>
          <w:p w:rsidR="008F4B5C" w:rsidRPr="008F4B5C" w:rsidRDefault="008F4B5C" w:rsidP="008F4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walidacji)</w:t>
            </w:r>
          </w:p>
          <w:p w:rsidR="008F4B5C" w:rsidRPr="008F4B5C" w:rsidRDefault="008F4B5C" w:rsidP="008F4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(Dotyczy wyłącznie projektów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obejmujących pierwszą</w:t>
            </w:r>
          </w:p>
          <w:p w:rsidR="008F4B5C" w:rsidRPr="009B56EF" w:rsidRDefault="008F4B5C" w:rsidP="008F4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produkcję)</w:t>
            </w:r>
          </w:p>
        </w:tc>
        <w:tc>
          <w:tcPr>
            <w:tcW w:w="6378" w:type="dxa"/>
            <w:vAlign w:val="center"/>
          </w:tcPr>
          <w:p w:rsidR="008F4B5C" w:rsidRPr="008F4B5C" w:rsidRDefault="008F4B5C" w:rsidP="008F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Ocenie podlega czy projekt kończący się etapem pierwszej produkcji (poziom IX) obejmuje co najmniej dwa wcześniejsze poziomy gotowości technologicznej (poziom VII i VIII </w:t>
            </w:r>
            <w:proofErr w:type="spellStart"/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TRL’s</w:t>
            </w:r>
            <w:proofErr w:type="spellEnd"/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) wg definicji przyjętych w Załączniku do rozporządzenia Ministra Nauki i Szkolnictwa Wyższego z dnia 4 stycznia 2011 r. (poz. 91) w sprawie sposobu zarządzania przez Narodowe Centrum Badań i Rozwoju realizacją badań naukowych lub prac rozwojowych na rzecz obronności i bezpieczeństwa państwa.</w:t>
            </w:r>
            <w:r>
              <w:t xml:space="preserve"> </w:t>
            </w:r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Pierwsza produkcja oznacza pierwsze wdrożenie przemysłowe polegające</w:t>
            </w:r>
          </w:p>
          <w:p w:rsidR="008F4B5C" w:rsidRPr="008F4B5C" w:rsidRDefault="008F4B5C" w:rsidP="008F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 zwiększeniu skali linii pilotażowych lub zakupie/ wytworzeniu</w:t>
            </w:r>
          </w:p>
          <w:p w:rsidR="008F4B5C" w:rsidRPr="008F4B5C" w:rsidRDefault="008F4B5C" w:rsidP="008F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pierwszych w swoim rodzaju urządzeń i obiektów, obejmujące etapy</w:t>
            </w:r>
          </w:p>
          <w:p w:rsidR="008F4B5C" w:rsidRPr="008F4B5C" w:rsidRDefault="008F4B5C" w:rsidP="008F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następujące po uruchomieniu linii pilotażowej użytej do fazy testowania.</w:t>
            </w:r>
          </w:p>
          <w:p w:rsidR="008F4B5C" w:rsidRPr="008F4B5C" w:rsidRDefault="008F4B5C" w:rsidP="008F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Pierwsza produkcja nie obejmuje produkcji masowej ani działalności</w:t>
            </w:r>
          </w:p>
          <w:p w:rsidR="008F4B5C" w:rsidRPr="009B56EF" w:rsidRDefault="008F4B5C" w:rsidP="008F4B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8F4B5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handlowej</w:t>
            </w:r>
          </w:p>
        </w:tc>
        <w:tc>
          <w:tcPr>
            <w:tcW w:w="4536" w:type="dxa"/>
            <w:vAlign w:val="center"/>
          </w:tcPr>
          <w:p w:rsidR="008F4B5C" w:rsidRPr="008F4B5C" w:rsidRDefault="008F4B5C" w:rsidP="008F4B5C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</w:t>
            </w:r>
          </w:p>
          <w:p w:rsidR="008F4B5C" w:rsidRPr="008F4B5C" w:rsidRDefault="008F4B5C" w:rsidP="008F4B5C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</w:rPr>
              <w:t>niezbędne do przyznania dofinansowania.</w:t>
            </w:r>
          </w:p>
          <w:p w:rsidR="008F4B5C" w:rsidRPr="008F4B5C" w:rsidRDefault="008F4B5C" w:rsidP="008F4B5C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8F4B5C" w:rsidRPr="008F4B5C" w:rsidRDefault="008F4B5C" w:rsidP="008F4B5C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</w:rPr>
              <w:t>Ocena spełniania kryteriów polega na przypisaniu im</w:t>
            </w:r>
          </w:p>
          <w:p w:rsidR="008F4B5C" w:rsidRPr="009B56EF" w:rsidRDefault="008F4B5C" w:rsidP="008F4B5C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4B5C">
              <w:rPr>
                <w:rFonts w:ascii="Calibri" w:eastAsia="Times New Roman" w:hAnsi="Calibri" w:cs="Calibri"/>
                <w:sz w:val="20"/>
                <w:szCs w:val="20"/>
              </w:rPr>
              <w:t>wartości logicznych „tak” lub „nie”.</w:t>
            </w: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8F4B5C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="009B56EF"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Spełnienie wymagań dotyczących projektów realizowanych przez duże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przedsiębiorstwa 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(dotyczy wyłącznie jeśli wnioskodawcą jest duże przedsiębiorstwo</w:t>
            </w:r>
            <w:r w:rsidRPr="009B56EF">
              <w:rPr>
                <w:rFonts w:ascii="Arial" w:eastAsia="Times New Roman" w:hAnsi="Arial" w:cs="Times New Roman"/>
                <w:i/>
                <w:sz w:val="16"/>
                <w:szCs w:val="20"/>
                <w:vertAlign w:val="superscript"/>
                <w:lang w:eastAsia="pl-PL"/>
              </w:rPr>
              <w:footnoteReference w:id="3"/>
            </w: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Ocenie podlega czy:</w:t>
            </w:r>
          </w:p>
          <w:p w:rsidR="009B56EF" w:rsidRPr="009B56EF" w:rsidRDefault="009B56EF" w:rsidP="009B56E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contextualSpacing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wnioskodawca opisał w studium wykonalności/ biznes planie mechanizm zapewnienia dyfuzji wyników prowadzonej działalności </w:t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lastRenderedPageBreak/>
              <w:t xml:space="preserve">badawczo-rozwojowej do gospodarki regionu </w:t>
            </w:r>
            <w:r w:rsidRPr="009B56EF">
              <w:rPr>
                <w:rFonts w:ascii="Arial" w:eastAsia="Times New Roman" w:hAnsi="Arial" w:cs="Times New Roman"/>
                <w:sz w:val="16"/>
                <w:vertAlign w:val="superscript"/>
                <w:lang w:eastAsia="pl-PL"/>
              </w:rPr>
              <w:footnoteReference w:id="4"/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oraz współpracy z MŚP </w:t>
            </w:r>
          </w:p>
          <w:p w:rsidR="009B56EF" w:rsidRPr="009B56EF" w:rsidRDefault="009B56EF" w:rsidP="009B56E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contextualSpacing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wnioskodawca załączył oświadczenie, że realizacja projektu nie spowoduje spadku liczby miejsc pracy w istniejących lokalizacjach na terytorium UE  (od momentu złożenia wniosku o dofinansowanie) tj. min. 100 miejsc pracy w macierzystym zakładzie (w innym kraju UE), odliczając utworzone miejsca pracy w innej części firmy lub w nowej inwestycji w Polsce dla osób zwalnianych z macierzystego zakładu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Brak barier wynikających z praw własności intelektualnej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 czy kwestia praw własności intelektualnej nie stanowi bariery w realizacji projektu, w tym czy wnioskodawca wykazał dysponowanie lub możliwości dysponowania prawami własności intelektualnej, jeśli są niezbędne do przeprowadzenia zaplanowanych w projekcie działań. Wnioskodawca zawarł w studium wykonalności/ biznes planie stosowną informację, czy wnioskodawca dysponuje prawami własności intelektualnej oraz czy zaplanowane w projekcie działania nie naruszają praw własności intelektualnej.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tabs>
                <w:tab w:val="left" w:pos="317"/>
              </w:tabs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8F4B5C" w:rsidRPr="009B56EF" w:rsidTr="008A79C3">
        <w:trPr>
          <w:trHeight w:val="490"/>
        </w:trPr>
        <w:tc>
          <w:tcPr>
            <w:tcW w:w="710" w:type="dxa"/>
            <w:vAlign w:val="center"/>
          </w:tcPr>
          <w:p w:rsidR="008F4B5C" w:rsidRPr="009B56EF" w:rsidRDefault="003827F5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35" w:type="dxa"/>
            <w:vAlign w:val="center"/>
          </w:tcPr>
          <w:p w:rsidR="008F4B5C" w:rsidRPr="009B56EF" w:rsidRDefault="003827F5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innowacji</w:t>
            </w:r>
          </w:p>
        </w:tc>
        <w:tc>
          <w:tcPr>
            <w:tcW w:w="6378" w:type="dxa"/>
            <w:vAlign w:val="center"/>
          </w:tcPr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 czy rezultatem projektu będzie innowacja produktowa lub procesowa (technologiczna) na poziomie co najmniej regionalnym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(oceniane na podstawie załączonej do wniosku o dofinansowanie opinii 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innowacyjności).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ramach poddziałania 1.2.1 nie jest możliwe dofinansowanie projektów,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których efektem, jest wyłącznie innowacja marketingowa lub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organizacyjna. Uzupełniającym elementem projektu może być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wprowadzenie nowych rozwiązań organizacyjnych lub marketingowych,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jednak inne rodzaje innowacji, będące uzupełniającym elementem projektu</w:t>
            </w:r>
          </w:p>
          <w:p w:rsidR="008F4B5C" w:rsidRPr="009B56EF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wymienione we wniosku o dofinansowanie nie podlegają ocenie.</w:t>
            </w:r>
          </w:p>
        </w:tc>
        <w:tc>
          <w:tcPr>
            <w:tcW w:w="4536" w:type="dxa"/>
            <w:vAlign w:val="center"/>
          </w:tcPr>
          <w:p w:rsidR="003827F5" w:rsidRP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</w:t>
            </w:r>
          </w:p>
          <w:p w:rsidR="003827F5" w:rsidRP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niezbędne do przyznania dofinansowania.</w:t>
            </w:r>
          </w:p>
          <w:p w:rsid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  <w:r>
              <w:t xml:space="preserve"> </w:t>
            </w:r>
          </w:p>
          <w:p w:rsidR="003827F5" w:rsidRP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Ocena spełniania kryteriów polega na przypisaniu im</w:t>
            </w:r>
          </w:p>
          <w:p w:rsidR="008F4B5C" w:rsidRPr="009B56EF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wartości logicznych „tak” lub „nie”.</w:t>
            </w:r>
          </w:p>
        </w:tc>
      </w:tr>
      <w:tr w:rsidR="008F4B5C" w:rsidRPr="009B56EF" w:rsidTr="008A79C3">
        <w:trPr>
          <w:trHeight w:val="490"/>
        </w:trPr>
        <w:tc>
          <w:tcPr>
            <w:tcW w:w="710" w:type="dxa"/>
            <w:vAlign w:val="center"/>
          </w:tcPr>
          <w:p w:rsidR="008F4B5C" w:rsidRPr="009B56EF" w:rsidRDefault="003827F5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835" w:type="dxa"/>
            <w:vAlign w:val="center"/>
          </w:tcPr>
          <w:p w:rsidR="003827F5" w:rsidRPr="003827F5" w:rsidRDefault="003827F5" w:rsidP="003827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obejmuje badania przemysłowe i prace rozwojowe</w:t>
            </w:r>
          </w:p>
          <w:p w:rsidR="008F4B5C" w:rsidRPr="009B56EF" w:rsidRDefault="003827F5" w:rsidP="003827F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albo prace rozwojowe</w:t>
            </w:r>
          </w:p>
        </w:tc>
        <w:tc>
          <w:tcPr>
            <w:tcW w:w="6378" w:type="dxa"/>
            <w:vAlign w:val="center"/>
          </w:tcPr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podlega, czy planowane w ramach projektu badania mają charakter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badań przemysłowych i prac rozwojowych albo prac rozwojowych;</w:t>
            </w:r>
          </w:p>
          <w:p w:rsidR="003827F5" w:rsidRPr="003827F5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Badania przemysłowe i prace rozwojowe rozumiane są zgodnie z</w:t>
            </w:r>
          </w:p>
          <w:p w:rsidR="008F4B5C" w:rsidRPr="009B56EF" w:rsidRDefault="003827F5" w:rsidP="003827F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827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rozporządzeniem Komisji (UE) nr 651/2014.</w:t>
            </w:r>
          </w:p>
        </w:tc>
        <w:tc>
          <w:tcPr>
            <w:tcW w:w="4536" w:type="dxa"/>
            <w:vAlign w:val="center"/>
          </w:tcPr>
          <w:p w:rsidR="003827F5" w:rsidRP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</w:t>
            </w:r>
          </w:p>
          <w:p w:rsidR="003827F5" w:rsidRP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niezbędne do przyznania dofinansowania.</w:t>
            </w:r>
          </w:p>
          <w:p w:rsidR="003827F5" w:rsidRP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3827F5" w:rsidRPr="003827F5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>Ocena spełniania kryteriów polega na przypisaniu im</w:t>
            </w:r>
          </w:p>
          <w:p w:rsidR="008F4B5C" w:rsidRPr="009B56EF" w:rsidRDefault="003827F5" w:rsidP="003827F5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7F5">
              <w:rPr>
                <w:rFonts w:ascii="Calibri" w:eastAsia="Times New Roman" w:hAnsi="Calibri" w:cs="Calibri"/>
                <w:sz w:val="20"/>
                <w:szCs w:val="20"/>
              </w:rPr>
              <w:t xml:space="preserve">wartości logicznych „tak” lub „nie”. </w:t>
            </w:r>
          </w:p>
        </w:tc>
      </w:tr>
    </w:tbl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  <w:r w:rsidRPr="009B56EF">
        <w:rPr>
          <w:rFonts w:ascii="Calibri" w:eastAsia="Times New Roman" w:hAnsi="Calibri" w:cs="Times New Roman"/>
          <w:i/>
          <w:sz w:val="24"/>
          <w:lang w:eastAsia="pl-PL"/>
        </w:rPr>
        <w:t>* Projekty niespełniające kryteriów merytorycznych ogólnych i kryteriów merytorycznych specyficznych obligatoryjnych są odrzucane i nie podlegają dalszej ocenie.</w:t>
      </w:r>
    </w:p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913"/>
        <w:gridCol w:w="6379"/>
        <w:gridCol w:w="4507"/>
      </w:tblGrid>
      <w:tr w:rsidR="003127B1" w:rsidRPr="003127B1" w:rsidTr="008A79C3">
        <w:tc>
          <w:tcPr>
            <w:tcW w:w="14459" w:type="dxa"/>
            <w:gridSpan w:val="4"/>
            <w:shd w:val="clear" w:color="auto" w:fill="99CC00"/>
            <w:vAlign w:val="center"/>
          </w:tcPr>
          <w:p w:rsidR="009B56EF" w:rsidRPr="003127B1" w:rsidRDefault="009B56EF" w:rsidP="009B56EF">
            <w:pPr>
              <w:spacing w:after="0" w:line="240" w:lineRule="auto"/>
              <w:ind w:firstLine="360"/>
              <w:jc w:val="center"/>
              <w:rPr>
                <w:rFonts w:eastAsia="Times New Roman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b/>
                <w:color w:val="000000" w:themeColor="text1"/>
                <w:sz w:val="20"/>
                <w:szCs w:val="20"/>
                <w:lang w:eastAsia="pl-PL"/>
              </w:rPr>
              <w:t>KRYTERIA MERYTORYCZNE (PUNKTOWE)</w:t>
            </w:r>
          </w:p>
          <w:p w:rsidR="009B56EF" w:rsidRPr="003127B1" w:rsidRDefault="009B56EF" w:rsidP="009B56EF">
            <w:pPr>
              <w:spacing w:after="0" w:line="240" w:lineRule="auto"/>
              <w:ind w:firstLine="360"/>
              <w:jc w:val="center"/>
              <w:rPr>
                <w:rFonts w:eastAsia="Times New Roman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b/>
                <w:color w:val="000000" w:themeColor="text1"/>
                <w:sz w:val="20"/>
                <w:szCs w:val="20"/>
                <w:lang w:eastAsia="pl-PL"/>
              </w:rPr>
              <w:t>(wymagane minimum 50%)</w:t>
            </w:r>
          </w:p>
        </w:tc>
      </w:tr>
      <w:tr w:rsidR="003127B1" w:rsidRPr="003127B1" w:rsidTr="008A79C3">
        <w:tc>
          <w:tcPr>
            <w:tcW w:w="660" w:type="dxa"/>
            <w:shd w:val="clear" w:color="auto" w:fill="99CC00"/>
            <w:vAlign w:val="center"/>
          </w:tcPr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9B56EF" w:rsidRPr="003127B1" w:rsidRDefault="009B56EF" w:rsidP="009B56EF">
            <w:pPr>
              <w:spacing w:after="0" w:line="240" w:lineRule="auto"/>
              <w:ind w:firstLine="360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9B56EF" w:rsidRPr="003127B1" w:rsidRDefault="009B56EF" w:rsidP="009B56EF">
            <w:pPr>
              <w:spacing w:after="0" w:line="240" w:lineRule="auto"/>
              <w:ind w:firstLine="33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07" w:type="dxa"/>
            <w:shd w:val="clear" w:color="auto" w:fill="99CC00"/>
            <w:vAlign w:val="center"/>
          </w:tcPr>
          <w:p w:rsidR="009B56EF" w:rsidRPr="003127B1" w:rsidRDefault="009B56EF" w:rsidP="009B56EF">
            <w:pPr>
              <w:spacing w:after="0" w:line="240" w:lineRule="auto"/>
              <w:ind w:firstLine="360"/>
              <w:jc w:val="center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OPIS ZNACZENIA</w:t>
            </w:r>
          </w:p>
        </w:tc>
      </w:tr>
      <w:tr w:rsidR="003127B1" w:rsidRPr="003127B1" w:rsidTr="008A79C3">
        <w:tc>
          <w:tcPr>
            <w:tcW w:w="660" w:type="dxa"/>
            <w:vAlign w:val="center"/>
          </w:tcPr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13" w:type="dxa"/>
            <w:vAlign w:val="center"/>
          </w:tcPr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Projekt wykazuje wpływ na rozwój więcej niż jednej 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9B56EF" w:rsidRPr="003127B1" w:rsidRDefault="009B56EF" w:rsidP="009B56EF">
            <w:pPr>
              <w:spacing w:after="0" w:line="240" w:lineRule="auto"/>
              <w:ind w:left="33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Przedmiotem oceny jest opisany w studium wykonalności/ biznes planie zakładany wpływ planowanego przedsięwzięcia na więcej niż jedną inteligentną specjalizację województwa warmińsko-mazurskiego zidentyfikowaną </w:t>
            </w:r>
            <w:r w:rsidRPr="003127B1">
              <w:rPr>
                <w:rFonts w:eastAsia="Times New Roman" w:cs="Calibri"/>
                <w:i/>
                <w:color w:val="000000" w:themeColor="text1"/>
                <w:sz w:val="20"/>
                <w:szCs w:val="20"/>
                <w:lang w:eastAsia="pl-PL"/>
              </w:rPr>
              <w:t>w Strategii rozwoju społeczno-gospodarczego województwa warmińsko-mazurskiego do roku 2025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 Wpływ na rozwój inteligentnej specjalizacji należy rozumieć w sposób tożsamy jak w przypadku kryterium nr 1 merytorycznego specyficznego obligatoryjnego.</w:t>
            </w:r>
          </w:p>
          <w:p w:rsidR="009B56EF" w:rsidRPr="003127B1" w:rsidRDefault="009B56EF" w:rsidP="009B56EF">
            <w:pPr>
              <w:spacing w:after="0" w:line="240" w:lineRule="auto"/>
              <w:ind w:left="33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-  wpływ na rozwój maksymalnie jednej inteligentnej specjalizacji – 0 pkt  </w:t>
            </w:r>
          </w:p>
          <w:p w:rsidR="009B56EF" w:rsidRPr="003127B1" w:rsidRDefault="009B56EF" w:rsidP="009B56EF">
            <w:pPr>
              <w:spacing w:after="0" w:line="240" w:lineRule="auto"/>
              <w:ind w:left="33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- wpływ na rozwój 2 inteligentnych specjalizacji – 2 pkt</w:t>
            </w:r>
          </w:p>
          <w:p w:rsidR="009B56EF" w:rsidRPr="003127B1" w:rsidRDefault="009B56EF" w:rsidP="009B56EF">
            <w:pPr>
              <w:spacing w:after="0" w:line="240" w:lineRule="auto"/>
              <w:ind w:left="33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- wpływ na rozwój 3 inteligentnych specjalizacji – 3 pkt</w:t>
            </w:r>
          </w:p>
          <w:p w:rsidR="009B56EF" w:rsidRPr="003127B1" w:rsidRDefault="009B56EF" w:rsidP="009B56EF">
            <w:pPr>
              <w:suppressAutoHyphens/>
              <w:spacing w:after="0" w:line="240" w:lineRule="auto"/>
              <w:ind w:left="33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507" w:type="dxa"/>
            <w:vAlign w:val="center"/>
          </w:tcPr>
          <w:p w:rsidR="009B56EF" w:rsidRPr="003127B1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3127B1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Projekt może otrzymać od 0 do 3 punktów (maksymalnie).</w:t>
            </w:r>
          </w:p>
          <w:p w:rsidR="009B56EF" w:rsidRPr="003127B1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127B1" w:rsidRPr="003127B1" w:rsidTr="008A79C3">
        <w:tc>
          <w:tcPr>
            <w:tcW w:w="660" w:type="dxa"/>
            <w:vAlign w:val="center"/>
          </w:tcPr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13" w:type="dxa"/>
            <w:vAlign w:val="center"/>
          </w:tcPr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9B56EF" w:rsidRPr="003127B1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Ocenie podlega zadeklarowany przez Wnioskodawcę poziom wkładu własnego wg następującej punktacji</w:t>
            </w:r>
          </w:p>
          <w:p w:rsidR="009B56EF" w:rsidRPr="003127B1" w:rsidRDefault="009B56EF" w:rsidP="009B56E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contextualSpacing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pow. 0 do 2 pkt proc.  </w:t>
            </w:r>
            <w:r w:rsidR="003827F5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owyżej minimalnego poziomu wkładu własnego </w:t>
            </w:r>
            <w:r w:rsidR="003827F5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 3 pkt</w:t>
            </w:r>
          </w:p>
          <w:p w:rsidR="009B56EF" w:rsidRPr="003127B1" w:rsidRDefault="009B56EF" w:rsidP="009B56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pow. 2 do 4 pkt. </w:t>
            </w:r>
            <w:r w:rsidR="003827F5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roc.  </w:t>
            </w:r>
            <w:r w:rsidR="003827F5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owyżej minimalnego poziomu wkładu własnego -4 pkt</w:t>
            </w:r>
          </w:p>
          <w:p w:rsidR="009B56EF" w:rsidRPr="003127B1" w:rsidRDefault="009B56EF" w:rsidP="009B56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pow.4 pkt. </w:t>
            </w:r>
            <w:r w:rsidR="003827F5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roc.  </w:t>
            </w:r>
            <w:r w:rsidR="003827F5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owyżej minimalnego poziomu wkładu własnego </w:t>
            </w:r>
            <w:r w:rsidR="003827F5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 5 pkt</w:t>
            </w:r>
          </w:p>
        </w:tc>
        <w:tc>
          <w:tcPr>
            <w:tcW w:w="4507" w:type="dxa"/>
            <w:vAlign w:val="center"/>
          </w:tcPr>
          <w:p w:rsidR="009B56EF" w:rsidRPr="003127B1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3127B1" w:rsidRPr="003127B1" w:rsidTr="008A79C3">
        <w:tc>
          <w:tcPr>
            <w:tcW w:w="660" w:type="dxa"/>
            <w:vAlign w:val="center"/>
          </w:tcPr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13" w:type="dxa"/>
            <w:vAlign w:val="center"/>
          </w:tcPr>
          <w:p w:rsidR="009B56EF" w:rsidRPr="003127B1" w:rsidRDefault="009B56EF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Nowe etaty dla pracowników B+R</w:t>
            </w:r>
          </w:p>
        </w:tc>
        <w:tc>
          <w:tcPr>
            <w:tcW w:w="6379" w:type="dxa"/>
            <w:vAlign w:val="center"/>
          </w:tcPr>
          <w:p w:rsidR="009B56EF" w:rsidRPr="003127B1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Calibri" w:cs="Arial"/>
                <w:color w:val="000000" w:themeColor="text1"/>
                <w:sz w:val="20"/>
                <w:szCs w:val="20"/>
              </w:rPr>
              <w:t xml:space="preserve">Ocenie podlega liczba nowoutworzonych miejsc pracy dla pracowników B+R. Zatrudniani pracownicy w działach B+R powinni wykazywać co </w:t>
            </w:r>
            <w:r w:rsidRPr="003127B1">
              <w:rPr>
                <w:rFonts w:eastAsia="Calibri" w:cs="Arial"/>
                <w:color w:val="000000" w:themeColor="text1"/>
                <w:sz w:val="20"/>
                <w:szCs w:val="20"/>
              </w:rPr>
              <w:lastRenderedPageBreak/>
              <w:t xml:space="preserve">najmniej wykształcenie wyższe adekwatne do dziedziny, w której realizowany jest projekt. </w:t>
            </w:r>
          </w:p>
          <w:p w:rsidR="009B56EF" w:rsidRPr="003127B1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3127B1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eastAsia="Calibri" w:cs="Arial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Calibri" w:cs="Arial"/>
                <w:color w:val="000000" w:themeColor="text1"/>
                <w:sz w:val="20"/>
                <w:szCs w:val="20"/>
              </w:rPr>
              <w:t>pow. 0 do 1 etatu B+R – 2 pkt</w:t>
            </w:r>
          </w:p>
          <w:p w:rsidR="009B56EF" w:rsidRPr="003127B1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eastAsia="Calibri" w:cs="Arial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Calibri" w:cs="Arial"/>
                <w:color w:val="000000" w:themeColor="text1"/>
                <w:sz w:val="20"/>
                <w:szCs w:val="20"/>
              </w:rPr>
              <w:t>pow. 1 do 2 etatów B+R – 3 pkt</w:t>
            </w:r>
          </w:p>
          <w:p w:rsidR="009B56EF" w:rsidRPr="003127B1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Calibri" w:cs="Arial"/>
                <w:color w:val="000000" w:themeColor="text1"/>
                <w:sz w:val="20"/>
                <w:szCs w:val="20"/>
              </w:rPr>
              <w:t>pow. 2 etatów B+R – 4 pkt</w:t>
            </w:r>
          </w:p>
        </w:tc>
        <w:tc>
          <w:tcPr>
            <w:tcW w:w="4507" w:type="dxa"/>
            <w:vAlign w:val="center"/>
          </w:tcPr>
          <w:p w:rsidR="009B56EF" w:rsidRPr="003127B1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Kryterium punktowe – przyznanie 0 punktów nie dyskwalifikuje z możliwości uzyskania </w:t>
            </w: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dofinansowania.</w:t>
            </w:r>
          </w:p>
          <w:p w:rsidR="009B56EF" w:rsidRPr="003127B1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Projekt może otrzymać od 0 do 4 punktów (maksymalnie).</w:t>
            </w:r>
          </w:p>
          <w:p w:rsidR="009B56EF" w:rsidRPr="003127B1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127B1" w:rsidRPr="003127B1" w:rsidTr="008A79C3">
        <w:tc>
          <w:tcPr>
            <w:tcW w:w="660" w:type="dxa"/>
            <w:vAlign w:val="center"/>
          </w:tcPr>
          <w:p w:rsidR="003827F5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4. </w:t>
            </w:r>
          </w:p>
        </w:tc>
        <w:tc>
          <w:tcPr>
            <w:tcW w:w="2913" w:type="dxa"/>
            <w:vAlign w:val="center"/>
          </w:tcPr>
          <w:p w:rsidR="003827F5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Przygotowanie do wdrożenia </w:t>
            </w:r>
          </w:p>
        </w:tc>
        <w:tc>
          <w:tcPr>
            <w:tcW w:w="6379" w:type="dxa"/>
            <w:vAlign w:val="center"/>
          </w:tcPr>
          <w:p w:rsidR="003827F5" w:rsidRPr="003127B1" w:rsidRDefault="003827F5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Calibri" w:cs="Arial"/>
                <w:color w:val="000000" w:themeColor="text1"/>
                <w:sz w:val="20"/>
                <w:szCs w:val="20"/>
              </w:rPr>
              <w:t>Ocenie podlega stan przygotowania rozwiązania, którego dotyczy projekt do wdrożenia. W ramach kryterium można przyznać następujące punkty: − wypracowane w ramach projektu rozwiązanie nie będzie przygotowane do wdrożenia i po zakończeniu realizacji projektu wymagać będzie dalszych prac badawczo-rozwojowych – 0 pkt − wypracowane w ramach projektu rozwiązanie będzie przygotowane do wdrożenia – 3 pkt</w:t>
            </w:r>
          </w:p>
        </w:tc>
        <w:tc>
          <w:tcPr>
            <w:tcW w:w="4507" w:type="dxa"/>
            <w:vAlign w:val="center"/>
          </w:tcPr>
          <w:p w:rsidR="003827F5" w:rsidRPr="003127B1" w:rsidRDefault="003827F5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Kryterium punktowe – przyznanie 0 punktów nie dyskwalifikuje z możliwości uzyskania dofinansowania. Projekt może otrzymać od 0 do 3 punktów 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9B56EF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3127B1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Wpływ na rozwiązanie wszystkich zdiagnozowanych problemów kluczowych interesariuszy.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3127B1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Ocenie podlega</w:t>
            </w: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 rozwiązanie przez projekt wszystkich naglących problemów kluczowych interesariuszy.</w:t>
            </w:r>
          </w:p>
          <w:p w:rsidR="009B56EF" w:rsidRPr="003127B1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3127B1" w:rsidRDefault="009B56EF" w:rsidP="009B56EF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projekt przyczynia się do rozwiązania  wybranych problemów kluczowych interesariuszy w obszarze objętym projektem - 0 pkt </w:t>
            </w:r>
          </w:p>
          <w:p w:rsidR="009B56EF" w:rsidRPr="003127B1" w:rsidRDefault="009B56EF" w:rsidP="009B56EF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projekt przyczynia się do rozwiązania wszystkich zdiagnozowanych problemów kluczowych interesariuszy w obszarze objętym projektem - 1 pkt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3127B1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3127B1" w:rsidRDefault="009B56EF" w:rsidP="009B56EF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Projekt może otrzymać od 0 do 1 punktu 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9B56EF"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3127B1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  <w:t>Innowacyjność technologii i implementowanych rozwiązań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3127B1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  <w:t>Ocenie podlega poziom innowacji infrastruktury powstałej w wyniku realizacji projektu (oceniane na podstawie załączonej do wniosku o dofinansowanie opinii o  innowacyjności).</w:t>
            </w:r>
          </w:p>
          <w:p w:rsidR="009B56EF" w:rsidRPr="003127B1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3127B1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  <w:t>- innowacja na poziomie regionalnym – 0 pkt</w:t>
            </w:r>
          </w:p>
          <w:p w:rsidR="009B56EF" w:rsidRPr="003127B1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  <w:t>- innowacja na poziomie krajowym – 4 pkt</w:t>
            </w:r>
          </w:p>
          <w:p w:rsidR="009B56EF" w:rsidRPr="003127B1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  <w:t xml:space="preserve">- innowacja na poziomie międzynarodowym 5 pkt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3127B1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3127B1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eastAsia="Times New Roman" w:cs="Calibri"/>
                <w:bCs/>
                <w:color w:val="000000" w:themeColor="text1"/>
                <w:sz w:val="20"/>
                <w:szCs w:val="20"/>
              </w:rPr>
            </w:pPr>
            <w:r w:rsidRPr="003127B1">
              <w:rPr>
                <w:rFonts w:eastAsia="Times New Roman" w:cs="Calibri"/>
                <w:bCs/>
                <w:color w:val="000000" w:themeColor="text1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Zgodność z Kluczowymi technologiami wspomagającymi (KET). </w:t>
            </w:r>
          </w:p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Weryfikowane będzie (na podstawie informacji zawartych w studium wykonalności/ biznes planie) czy projekt wpisuje się w Kluczowe technologie wspomagające (KET)</w:t>
            </w: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, do których należą: </w:t>
            </w:r>
          </w:p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- mikro i nanoelektronika </w:t>
            </w:r>
          </w:p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- materiały zaawansowane </w:t>
            </w:r>
          </w:p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- biotechnologia przemysłowa </w:t>
            </w:r>
          </w:p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- fotonika </w:t>
            </w:r>
          </w:p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- nanotechnologia </w:t>
            </w:r>
          </w:p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- zaawansowane systemy wytwarzania. </w:t>
            </w:r>
          </w:p>
          <w:p w:rsidR="003827F5" w:rsidRPr="003127B1" w:rsidRDefault="003827F5" w:rsidP="0090610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0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0 pkt – projekt nie wpisuje się w KET 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0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 pkt – projekt wpisuje się w co najmniej jeden KET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Kryterium punktowe –przyznanie 0 punktów nie dyskwalifikuje z możliwości uzyskania dofinansowania.</w:t>
            </w:r>
          </w:p>
          <w:p w:rsidR="003827F5" w:rsidRPr="003127B1" w:rsidRDefault="003827F5" w:rsidP="0090610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Projekt może otrzymać 0 lub 2 punkt 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Współpraca przedsiębiorstw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 ramach kryterium weryfikacji podlega, czy projekt realizowany jest w partnerstwie (na podstawie umowy partnerskiej, o której mowa w ustawie wdrożeniowej) lub innej formie współpracy (na podstawie umowy/ porozumienia o współpracy):</w:t>
            </w:r>
          </w:p>
          <w:p w:rsidR="003827F5" w:rsidRPr="003127B1" w:rsidRDefault="003827F5" w:rsidP="0090610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Punkty przyznawane są następująco: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projekt nie jest realizowany we współpracy z innymi przedsiębiorstwami – 0 pkt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projekt realizowany w partnerstwie przez 2 przedsiębiorstwa – 3 pkt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projekt realizowany w partnerstwie przez więcej niż 2 przedsiębiorstwa  – 5 pkt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projekt realizowany we współpracy (w innej formie niż partnerstwo) z 1 przedsiębiorstwem – 2 pkt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projekt realizowany we współpracy (w innej formie niż partnerstwo) z więcej niż 1 przedsiębiorstwem  – 3 pkt</w:t>
            </w:r>
          </w:p>
          <w:p w:rsidR="003827F5" w:rsidRPr="003127B1" w:rsidRDefault="003827F5" w:rsidP="0090610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Punkty sumują się do 5 pkt.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3827F5" w:rsidRPr="003127B1" w:rsidRDefault="003827F5" w:rsidP="0090610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Realizacja kilku komplementarnych celów.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3827F5" w:rsidRPr="003127B1" w:rsidRDefault="003827F5" w:rsidP="0090610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0 pkt – projekt realizuje jeden cel </w:t>
            </w:r>
          </w:p>
          <w:p w:rsidR="003827F5" w:rsidRPr="003127B1" w:rsidRDefault="003827F5" w:rsidP="0090610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 pkt – projekt realizuje kilka uzupełniających się celów wymagających odrębnych działań.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0610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3827F5" w:rsidRPr="003127B1" w:rsidRDefault="003827F5" w:rsidP="0090610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Projekt może otrzymać 0 lub 1 punkt 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127B1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127B1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Ponoszenie nakładów na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127B1" w:rsidP="003827F5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color w:val="000000" w:themeColor="text1"/>
                <w:sz w:val="20"/>
                <w:szCs w:val="20"/>
              </w:rPr>
            </w:pPr>
            <w:r w:rsidRPr="003127B1">
              <w:rPr>
                <w:color w:val="000000" w:themeColor="text1"/>
                <w:sz w:val="20"/>
                <w:szCs w:val="20"/>
              </w:rPr>
              <w:t xml:space="preserve">Ocenie podlega ponoszenie nakładów na działalność B+R przez </w:t>
            </w:r>
            <w:r w:rsidR="003827F5" w:rsidRPr="003127B1">
              <w:rPr>
                <w:color w:val="000000" w:themeColor="text1"/>
                <w:sz w:val="20"/>
                <w:szCs w:val="20"/>
              </w:rPr>
              <w:t xml:space="preserve">wnioskodawcę i/lub partnerów. W ramach kryterium można przyznać następujące punkty: − 1 pkt – wnioskodawca udokumentuje na dzień złożenia wniosku o dofinansowanie, iż w okresie bieżącym lub okresie obrachunkowym poprzedzającym rok, w którym złożono wniosek o dofinansowanie ponosił nakłady wewnętrzne na działalność B+R </w:t>
            </w:r>
            <w:r w:rsidR="003827F5" w:rsidRPr="003127B1">
              <w:rPr>
                <w:color w:val="000000" w:themeColor="text1"/>
                <w:sz w:val="20"/>
                <w:szCs w:val="20"/>
              </w:rPr>
              <w:lastRenderedPageBreak/>
              <w:t>(sprawozdanie GUS PNT-01 lub inne dokumenty, w przypadku, gdy wnioskodawca nie jest zobligowany do składania ww. sprawozdania), − 0 pkt – wnioskodawca nie ponosił nakładów na B+R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1" w:rsidRPr="003127B1" w:rsidRDefault="003127B1" w:rsidP="003127B1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Kryterium punktowe –przyznanie 0 punktów nie dyskwalifikuje z możliwości uzyskania</w:t>
            </w:r>
          </w:p>
          <w:p w:rsidR="003127B1" w:rsidRPr="003127B1" w:rsidRDefault="003127B1" w:rsidP="003127B1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dofinansowania.</w:t>
            </w:r>
          </w:p>
          <w:p w:rsidR="003827F5" w:rsidRPr="003127B1" w:rsidRDefault="003127B1" w:rsidP="003127B1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Projekt może otrzymać 0 lub 1 punkt(maksymalnie).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Wykorzystanie istniejącej infrastruktury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3827F5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color w:val="000000" w:themeColor="text1"/>
                <w:sz w:val="20"/>
                <w:szCs w:val="20"/>
              </w:rPr>
              <w:t>Ocenie podlega wykorzystanie posiadanego przez wnioskodawcę zaplecza naukowo-badawczego. W ramach kryterium można przyznać następujące punkty: − 0 pkt – wnioskodawca nie deklaruje wykorzystania posiadanego przez wnioskodawcę zaplecza naukowo-badawczego lub posiadane zaplecze naukowo-badawcze stanowią wyłącznie zaplecze lokalowe i/lub komputery osobiste służące do prowadzenia prac B+R, − 1 pkt – wnioskodawca deklaruje wykorzystanie posiadanego przez wnioskodawcę zaplecza naukowo-badawczego, w wyniku czego zwiększy się efektywność wykorzystania istniejącego zaplecza naukowo-badawczego do prowadzenia i komercjalizacji badań w dziedzinach związanych z inteligentnymi specjalizacjami regionu.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3827F5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Kryterium punktowe –przyznanie 0 punktów nie</w:t>
            </w:r>
          </w:p>
          <w:p w:rsidR="003827F5" w:rsidRPr="003127B1" w:rsidRDefault="003827F5" w:rsidP="003827F5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dyskwalifikuje z możliwości uzyskania</w:t>
            </w:r>
          </w:p>
          <w:p w:rsidR="003827F5" w:rsidRPr="003127B1" w:rsidRDefault="003827F5" w:rsidP="003827F5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dofinansowania.</w:t>
            </w:r>
          </w:p>
          <w:p w:rsidR="003827F5" w:rsidRPr="003127B1" w:rsidRDefault="003827F5" w:rsidP="003827F5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Projekt może otrzymać 0 lub 1 punkt (maksymalnie).</w:t>
            </w:r>
          </w:p>
        </w:tc>
      </w:tr>
      <w:tr w:rsidR="003127B1" w:rsidRPr="003127B1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spacing w:after="0" w:line="240" w:lineRule="auto"/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Intensywność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Ocenie podlega intensywność B+R działalności gospodarczej objętej projektem (</w:t>
            </w: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według klasyfikacji OECD)</w:t>
            </w: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. W ramach kryterium można przyznać następujące punkty:</w:t>
            </w:r>
          </w:p>
          <w:p w:rsidR="003827F5" w:rsidRPr="003127B1" w:rsidRDefault="003827F5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0 pkt – projekt dotyczy  wyłącznie działalności gospodarczej o średnio niskim i niskim poziomie „intensywności B+R”,</w:t>
            </w:r>
          </w:p>
          <w:p w:rsidR="003827F5" w:rsidRPr="003127B1" w:rsidRDefault="003827F5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2 pkt – projekt dotyczy  wyłącznie działalności gospodarczej o wysokim i średniowysokim poziomie „intensywności B+R”.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F5" w:rsidRPr="003127B1" w:rsidRDefault="003827F5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3827F5" w:rsidRPr="003127B1" w:rsidRDefault="003827F5" w:rsidP="009B56EF">
            <w:pPr>
              <w:keepNext/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Projekt może otrzymać 0 lub 2 punkty (maksymalnie).</w:t>
            </w:r>
          </w:p>
        </w:tc>
      </w:tr>
      <w:tr w:rsidR="003127B1" w:rsidRPr="003127B1" w:rsidTr="008A79C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3827F5" w:rsidRPr="003127B1" w:rsidRDefault="003827F5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0" w:firstLine="360"/>
              <w:jc w:val="right"/>
              <w:rPr>
                <w:rFonts w:eastAsia="Times New Roman" w:cs="Calibr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127B1">
              <w:rPr>
                <w:rFonts w:eastAsia="Times New Roman" w:cs="Calibri"/>
                <w:b/>
                <w:color w:val="000000" w:themeColor="text1"/>
                <w:sz w:val="20"/>
                <w:szCs w:val="20"/>
                <w:lang w:eastAsia="pl-PL"/>
              </w:rPr>
              <w:t>Maksymalna liczba punktów 33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6378"/>
        <w:gridCol w:w="4536"/>
      </w:tblGrid>
      <w:tr w:rsidR="009B56EF" w:rsidRPr="009B56EF" w:rsidTr="008A79C3">
        <w:trPr>
          <w:trHeight w:val="436"/>
        </w:trPr>
        <w:tc>
          <w:tcPr>
            <w:tcW w:w="14459" w:type="dxa"/>
            <w:gridSpan w:val="4"/>
            <w:shd w:val="clear" w:color="auto" w:fill="92CDDC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" w:hanging="72"/>
              <w:jc w:val="center"/>
              <w:rPr>
                <w:rFonts w:ascii="Calibri" w:eastAsia="Times New Roman" w:hAnsi="Calibri" w:cs="Calibri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Cs w:val="20"/>
                <w:lang w:eastAsia="pl-PL"/>
              </w:rPr>
              <w:t>KRYTERIA MERYTORYCZNE (PREMIUJĄCE)</w:t>
            </w:r>
          </w:p>
        </w:tc>
      </w:tr>
      <w:tr w:rsidR="009B56EF" w:rsidRPr="009B56EF" w:rsidTr="008A79C3">
        <w:trPr>
          <w:trHeight w:val="414"/>
        </w:trPr>
        <w:tc>
          <w:tcPr>
            <w:tcW w:w="710" w:type="dxa"/>
            <w:shd w:val="clear" w:color="auto" w:fill="92CDDC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710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zasadami horyzontalnymi wynikającymi z RPO WiM 2014-2020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punktowe (min-max).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 kryterium wykorzystania nowoczesnych technologii informacyjno-komunikacyjnych (TIK),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projekt nie wykorzystuje nowoczesnych technologii informacyjno-komunikacyjnych (TIK)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1 pkt – dzięki projektowi przygotowane zostaną systemy informatyczne i zwiększy się zdolność do ich użytkowania i/lub nastąpi wykorzystanie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usług telekomunikacyjnych do przekazywania i zdalnego przetwarzania informacji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dochodowy (PIT, CIT),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towarów i usług (VAT),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akcyza,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nieruchomości, 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środków transportowych,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czynności cywilnoprawnych od umowy spółki.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0 pkt – Wnioskodawca i/lub partnerzy (jeśli dotyczy) nie odprowadza lub nie będzie odprowadzać</w:t>
            </w:r>
            <w:r w:rsidRPr="009B56E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żadnego z powyższych podatków w województwie warmińsko-mazurskim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1 pkt –Wnioskodawca i/lub partnerzy (jeśli dotyczy) odprowadza lub będzie odprowadzać w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województwie warmińsko-mazurskim jeden podatek z powyższej listy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2 pkt -  Wnioskodawca i/lub partnerzy (jeśli dotyczy) odprowadza lub będzie odprowadzać w województwie warmińsko-mazurskim dwa podatki z powyższej listy.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3 pkt </w:t>
            </w:r>
            <w:r w:rsidR="003127B1">
              <w:rPr>
                <w:rFonts w:ascii="Calibri" w:eastAsia="Times New Roman" w:hAnsi="Calibri" w:cs="Calibri"/>
                <w:sz w:val="20"/>
                <w:szCs w:val="20"/>
              </w:rPr>
              <w:t>–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 Wnioskodawca i/lub partnerzy (jeśli dotyczy) odprowadza lub będzie odprowadzać w województwie warmińsko-mazurskim trzy lub więcej podatków z powyższej listy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Projekt  w tym kryterium może otrzymać od 0 do 3 pkt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komunikacji z interesariuszami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Kryterium premiuje budowanie dowolnej formy komunikacji, kontaktu, wymiany informacji między osobami, instytucjami i firmami na zasadzie partnerstwa, </w:t>
            </w:r>
            <w:r w:rsidRPr="009B56EF">
              <w:rPr>
                <w:rFonts w:ascii="Calibri" w:eastAsia="Times New Roman" w:hAnsi="Calibri" w:cs="Arial"/>
                <w:iCs/>
                <w:sz w:val="20"/>
                <w:szCs w:val="20"/>
              </w:rPr>
              <w:t>która zapewni ich aktywny udział w przygotowaniu projektu oraz branie ich zdania pod uwagę podczas podejmowania kluczowych decyzji dotyczących projektu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0 pkt – Wnioskodawca i partnerzy (jeśli dotyczy) nie zapewnili komunikacji z interesariuszami projektu w powyższy sposób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 Wnioskodawca i partnerzy (jeśli dotyczy) zapewnili komunikację z interesariuszami projektu w powyższy sposób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</w:t>
            </w:r>
            <w:r w:rsidRPr="009B56E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efektywne i racjonalne wykorzystywanie zasobów naturalnych oraz stosowanie rozwiązań przyjaznych środowisku.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0 pkt – w projekcie nie przewidziano działań efektywnie i racjonalnie wykorzystujących zasoby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naturalne i stosujących rozwiązania przyjazne środowisku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9B56EF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.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założone we wniosku o dofinansowanie wykorzystanie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 przy wyborze oferentów  – obok jakości i ceny – także kryteriów odnoszących się do kwestii społecznych (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dopuszczonych przez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prawo zamówień publicznych).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9B56EF" w:rsidRPr="009B56EF" w:rsidTr="008A79C3"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Weryfikowana będzie komplementarność projektu z innymi przedsięwzięciami  już zrealizowanymi, w trakcie realizacji lub wybranych do realizacji i współfinansowanych ze środków zagranicznych i polskich </w:t>
            </w:r>
            <w:r w:rsid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itp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 funduszy europejskich, kontraktów wojewódzkich, dotacji celowych </w:t>
            </w:r>
            <w:r w:rsid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itp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 </w:t>
            </w:r>
            <w:r w:rsidR="003127B1"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 2007 roku. Premiowane będą tutaj również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 (punkty sumują się do maksymalnie 5 pkt):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pkt –   projekt jest końcowym elementem wypełniającym ostatnią lukę w istniejącej infrastrukturze na danym obszarze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bezpośrednio wykorzystuje produkty bądź rezultaty innego projektu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 pkt –  projekt pełni łącznie z innymi projektami tę samą funkcję, dzięki czemu w pełni wykorzystywane są możliwości istniejącej infrastruktury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łącznie z innymi projektami jest wykorzystywany przez tych samych użytkowników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Doświadczenie w realizacji podobnych projektów.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 pkt –  Wnioskodawca i partnerzy (jeśli dotyczy) nie posiadają doświadczenia w realizacji podobnych projektów lub przedsięwzięć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2 punktów (maksymalnie).</w:t>
            </w:r>
          </w:p>
        </w:tc>
      </w:tr>
      <w:tr w:rsidR="003127B1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1" w:rsidRPr="009B56EF" w:rsidRDefault="003127B1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1" w:rsidRPr="003127B1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Możliwe uzyskanie ochrony</w:t>
            </w:r>
          </w:p>
          <w:p w:rsidR="003127B1" w:rsidRPr="003127B1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własności intelektualnej</w:t>
            </w:r>
          </w:p>
          <w:p w:rsidR="003127B1" w:rsidRPr="009B56EF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powstałej w ramach projektu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1" w:rsidRPr="003127B1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przypadku gdy wnioskodawca we wniosku o dofinansowanie założył</w:t>
            </w:r>
          </w:p>
          <w:p w:rsidR="003127B1" w:rsidRPr="003127B1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dokonanie zgłoszenia patentowego wynalazku, który będzie bezpośrednio</w:t>
            </w:r>
          </w:p>
          <w:p w:rsidR="003127B1" w:rsidRPr="003127B1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wynikać z przeprowadzonych badań przemysłowych, lub prac rozwojowych.</w:t>
            </w:r>
          </w:p>
          <w:p w:rsidR="003127B1" w:rsidRPr="003127B1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 zgłoszenia wzoru przemysłowego, wzoru użytkowego w celu ochrony</w:t>
            </w:r>
          </w:p>
          <w:p w:rsidR="003127B1" w:rsidRPr="009B56EF" w:rsidRDefault="003127B1" w:rsidP="003127B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praw własności przemysłowej, projekt otrzymuje dodatkowo 2 pkt.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B1" w:rsidRPr="003127B1" w:rsidRDefault="003127B1" w:rsidP="003127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</w:t>
            </w:r>
          </w:p>
          <w:p w:rsidR="003127B1" w:rsidRPr="003127B1" w:rsidRDefault="003127B1" w:rsidP="003127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dyskwalifikuje z możliwości uzyskania</w:t>
            </w:r>
          </w:p>
          <w:p w:rsidR="003127B1" w:rsidRPr="003127B1" w:rsidRDefault="003127B1" w:rsidP="003127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dofinansowania.</w:t>
            </w:r>
          </w:p>
          <w:p w:rsidR="003127B1" w:rsidRPr="003127B1" w:rsidRDefault="003127B1" w:rsidP="003127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2 punktów</w:t>
            </w:r>
          </w:p>
          <w:p w:rsidR="003127B1" w:rsidRPr="009B56EF" w:rsidRDefault="003127B1" w:rsidP="003127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27B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(maksymalnie).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3127B1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  <w:r w:rsidR="009B56EF"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Posiadany personel B+R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Weryfikowane będzie czy Wnioskodawca (i partnerzy – jeśli dotyczy) dysponuje pracownikami B+R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Wnioskodawca (i/ lub partnerzy) nie dysponuje personelem B+R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1 pkt –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Wnioskodawca (i/ lub partnerzy)  dysponuje personelem B+R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3127B1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</w:t>
            </w:r>
            <w:r w:rsidR="009B56EF"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Zwiększenie potencjału kadr B+R w przedsiębiorstwie.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 czy realizacja projektu przyczyni się do podniesienia potencjału pracowników badawczo-rozwojowych w przedsiębiorstwie (np. w wyniku szkoleń, staży, stypendiów naukowych, wymiany kadr pomiędzy jednostkami naukowymi i przedsiębiorstwami, itp.)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 projekcie nie przewidziano działań wpływających na wzrost potencjału kadr B+R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pkt – w projekcie przewidziano działania wpływające na wzrost potencjału kadr B+R</w:t>
            </w:r>
          </w:p>
        </w:tc>
      </w:tr>
      <w:tr w:rsidR="009B56EF" w:rsidRPr="009B56EF" w:rsidTr="008A79C3">
        <w:trPr>
          <w:trHeight w:val="280"/>
        </w:trPr>
        <w:tc>
          <w:tcPr>
            <w:tcW w:w="14459" w:type="dxa"/>
            <w:gridSpan w:val="4"/>
            <w:shd w:val="clear" w:color="auto" w:fill="B6DDE8"/>
            <w:vAlign w:val="center"/>
          </w:tcPr>
          <w:p w:rsidR="009B56EF" w:rsidRPr="009B56EF" w:rsidRDefault="003127B1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 LICZBA PUNKTÓW = 19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rPr>
          <w:rFonts w:ascii="Calibri" w:eastAsia="Times New Roman" w:hAnsi="Calibri" w:cs="Times New Roman"/>
          <w:lang w:eastAsia="pl-PL"/>
        </w:rPr>
      </w:pPr>
    </w:p>
    <w:p w:rsidR="009B56EF" w:rsidRPr="00B61F83" w:rsidRDefault="009B56EF" w:rsidP="009B56E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Times New Roman" w:hAnsi="Arial" w:cs="Arial"/>
          <w:i/>
          <w:lang w:eastAsia="pl-PL"/>
        </w:rPr>
      </w:pPr>
    </w:p>
    <w:sectPr w:rsidR="009B56EF" w:rsidRPr="00B61F83" w:rsidSect="00B61F8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0B1" w:rsidRDefault="000450B1" w:rsidP="00B61F83">
      <w:pPr>
        <w:spacing w:after="0" w:line="240" w:lineRule="auto"/>
      </w:pPr>
      <w:r>
        <w:separator/>
      </w:r>
    </w:p>
  </w:endnote>
  <w:endnote w:type="continuationSeparator" w:id="0">
    <w:p w:rsidR="000450B1" w:rsidRDefault="000450B1" w:rsidP="00B61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0B1" w:rsidRDefault="000450B1" w:rsidP="00B61F83">
      <w:pPr>
        <w:spacing w:after="0" w:line="240" w:lineRule="auto"/>
      </w:pPr>
      <w:r>
        <w:separator/>
      </w:r>
    </w:p>
  </w:footnote>
  <w:footnote w:type="continuationSeparator" w:id="0">
    <w:p w:rsidR="000450B1" w:rsidRDefault="000450B1" w:rsidP="00B61F83">
      <w:pPr>
        <w:spacing w:after="0" w:line="240" w:lineRule="auto"/>
      </w:pPr>
      <w:r>
        <w:continuationSeparator/>
      </w:r>
    </w:p>
  </w:footnote>
  <w:footnote w:id="1">
    <w:p w:rsidR="008F4B5C" w:rsidRPr="008F4B5C" w:rsidRDefault="008F4B5C" w:rsidP="008F4B5C">
      <w:pPr>
        <w:pStyle w:val="Tekstprzypisudolnego"/>
        <w:rPr>
          <w:sz w:val="18"/>
          <w:szCs w:val="18"/>
        </w:rPr>
      </w:pPr>
      <w:r w:rsidRPr="008F4B5C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8F4B5C">
        <w:rPr>
          <w:sz w:val="18"/>
          <w:szCs w:val="18"/>
        </w:rPr>
        <w:t xml:space="preserve"> Analizy SWOT dla poszczególnych specjalizacji ujęte są w raportach z Badania potencjału innowacyjnego i rozwojowego przedsiębiorstw funkcjonujących w ramach inteligentnych specjalizacji województwa warmińsko-mazurskiego dostępnych na stronie www.ris.warmia.mazury.pl</w:t>
      </w:r>
    </w:p>
  </w:footnote>
  <w:footnote w:id="2">
    <w:p w:rsidR="008F4B5C" w:rsidRPr="008F4B5C" w:rsidRDefault="008F4B5C" w:rsidP="008F4B5C">
      <w:pPr>
        <w:pStyle w:val="Tekstprzypisudolnego"/>
        <w:rPr>
          <w:sz w:val="18"/>
          <w:szCs w:val="18"/>
        </w:rPr>
      </w:pPr>
      <w:r w:rsidRPr="008F4B5C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8F4B5C">
        <w:rPr>
          <w:sz w:val="18"/>
          <w:szCs w:val="18"/>
        </w:rPr>
        <w:t xml:space="preserve">Europejski łańcuch wartości rozumiany jest jako całość działań/ etapów wytwarzania danego produktu w ramach określonej dziedziny działalności przedsiębiorstwa, angażujący podmioty z krajów europejskich (w tym m.in. producentów surowców, dostawców, podwykonawców, dystrybutorów, klientów, dostawców usług posprzedażowych, jednostki odpowiadające za utylizację/ recykling, itp.) (opracowanie własne na postawie źródeł rozproszonych)  </w:t>
      </w:r>
    </w:p>
  </w:footnote>
  <w:footnote w:id="3">
    <w:p w:rsidR="009B56EF" w:rsidRDefault="009B56EF" w:rsidP="009B56EF">
      <w:pPr>
        <w:pStyle w:val="Tekstprzypisudolnego"/>
      </w:pPr>
      <w:r w:rsidRPr="00671731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71731">
        <w:rPr>
          <w:sz w:val="18"/>
          <w:szCs w:val="18"/>
        </w:rPr>
        <w:t xml:space="preserve"> Duże przedsiębiorstwo - </w:t>
      </w:r>
      <w:r w:rsidRPr="00671731">
        <w:rPr>
          <w:rFonts w:cs="Arial"/>
          <w:sz w:val="18"/>
          <w:szCs w:val="18"/>
        </w:rPr>
        <w:t xml:space="preserve">przedsiębiorstwo nie spełniające kryteriów, o których mowa w Załączniku I do </w:t>
      </w:r>
      <w:r w:rsidRPr="00671731">
        <w:rPr>
          <w:rFonts w:cs="Arial"/>
          <w:bCs/>
          <w:sz w:val="18"/>
          <w:szCs w:val="18"/>
        </w:rPr>
        <w:t>Rozporządzenia Komisji (UE) nr 651/2014 z dnia 17 czerwca 2014 r. uznające niektóre rodzaje pomocy za zgodne z rynkiem wewnętrznym w zastosowaniu art. 107 i 108 Traktatu.</w:t>
      </w:r>
    </w:p>
  </w:footnote>
  <w:footnote w:id="4">
    <w:p w:rsidR="009B56EF" w:rsidRPr="00FB6DCA" w:rsidRDefault="009B56EF" w:rsidP="009B56EF">
      <w:pPr>
        <w:pStyle w:val="Default"/>
        <w:ind w:firstLine="0"/>
        <w:jc w:val="both"/>
        <w:rPr>
          <w:rFonts w:asciiTheme="minorHAnsi" w:eastAsiaTheme="minorHAnsi" w:hAnsiTheme="minorHAnsi" w:cs="Arial"/>
          <w:sz w:val="18"/>
          <w:szCs w:val="18"/>
          <w:lang w:eastAsia="en-US"/>
        </w:rPr>
      </w:pPr>
      <w:r w:rsidRPr="00FB6DCA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B6DCA">
        <w:rPr>
          <w:rFonts w:asciiTheme="minorHAnsi" w:hAnsiTheme="minorHAnsi"/>
          <w:sz w:val="18"/>
          <w:szCs w:val="18"/>
        </w:rPr>
        <w:t xml:space="preserve"> Dyfuzja rozumiana jest jako r</w:t>
      </w:r>
      <w:r w:rsidRPr="00FB6DCA">
        <w:rPr>
          <w:rFonts w:asciiTheme="minorHAnsi" w:hAnsiTheme="minorHAnsi" w:cs="Arial"/>
          <w:sz w:val="18"/>
          <w:szCs w:val="18"/>
        </w:rPr>
        <w:t xml:space="preserve">ozprzestrzenianie się nowego pomysłu od źródła, gdzie został wynaleziony lub stworzony, do jego ostatecznych użytkowników lub tych, którzy go akceptują. Dyfuzja dotyczy również grupy osób, społeczności lub społeczeństwa i wskazuje, w jaki sposób pomysł upowszechnia się wśród konsumentów. Dyfuzja zapewniona może zostać m.in. poprzez </w:t>
      </w:r>
      <w:r w:rsidRPr="00FB6DCA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współpracę z MŚP lub NGO lub organizacjami badawczymi w zakresie działalności B+R związanej z realizowanym projektem </w:t>
      </w:r>
    </w:p>
    <w:p w:rsidR="009B56EF" w:rsidRPr="004D6131" w:rsidRDefault="009B56EF" w:rsidP="009B56EF">
      <w:pPr>
        <w:suppressAutoHyphens/>
        <w:spacing w:before="120" w:line="26" w:lineRule="atLeast"/>
        <w:jc w:val="both"/>
        <w:rPr>
          <w:rFonts w:cs="Arial"/>
          <w:sz w:val="18"/>
          <w:szCs w:val="18"/>
        </w:rPr>
      </w:pPr>
    </w:p>
    <w:p w:rsidR="009B56EF" w:rsidRDefault="009B56EF" w:rsidP="009B56EF">
      <w:pPr>
        <w:pStyle w:val="Tekstprzypisudolnego"/>
      </w:pPr>
    </w:p>
  </w:footnote>
  <w:footnote w:id="5">
    <w:p w:rsidR="003827F5" w:rsidRPr="00EA0FBF" w:rsidRDefault="003827F5" w:rsidP="009B56EF">
      <w:pPr>
        <w:pStyle w:val="Tekstprzypisudolnego"/>
      </w:pPr>
      <w:r w:rsidRPr="00EA0FBF">
        <w:rPr>
          <w:rStyle w:val="Odwoanieprzypisudolnego"/>
          <w:rFonts w:asciiTheme="minorHAnsi" w:hAnsiTheme="minorHAnsi"/>
          <w:sz w:val="20"/>
        </w:rPr>
        <w:footnoteRef/>
      </w:r>
      <w:r w:rsidRPr="00EA0FBF">
        <w:t xml:space="preserve"> Kluczowe technologie wspomagające (KET) zostały określone w Komunikacie Komisji Europejskiej z 2009 r. COM(2009) 512/3</w:t>
      </w:r>
      <w:r>
        <w:t xml:space="preserve"> z </w:t>
      </w:r>
      <w:proofErr w:type="spellStart"/>
      <w:r>
        <w:t>późn</w:t>
      </w:r>
      <w:proofErr w:type="spellEnd"/>
      <w:r>
        <w:t>. zm.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83" w:rsidRDefault="00185886" w:rsidP="00B61F8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1CFF757" wp14:editId="3250A2DE">
          <wp:extent cx="6400800" cy="826770"/>
          <wp:effectExtent l="0" t="0" r="0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1B91"/>
    <w:multiLevelType w:val="hybridMultilevel"/>
    <w:tmpl w:val="BC2EE6EC"/>
    <w:lvl w:ilvl="0" w:tplc="A9BE5B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244EE5"/>
    <w:multiLevelType w:val="hybridMultilevel"/>
    <w:tmpl w:val="D63EC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1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6"/>
  </w:num>
  <w:num w:numId="5">
    <w:abstractNumId w:val="13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12"/>
  </w:num>
  <w:num w:numId="12">
    <w:abstractNumId w:val="17"/>
  </w:num>
  <w:num w:numId="13">
    <w:abstractNumId w:val="2"/>
  </w:num>
  <w:num w:numId="14">
    <w:abstractNumId w:val="14"/>
  </w:num>
  <w:num w:numId="15">
    <w:abstractNumId w:val="8"/>
  </w:num>
  <w:num w:numId="16">
    <w:abstractNumId w:val="18"/>
  </w:num>
  <w:num w:numId="17">
    <w:abstractNumId w:val="15"/>
  </w:num>
  <w:num w:numId="18">
    <w:abstractNumId w:val="4"/>
  </w:num>
  <w:num w:numId="19">
    <w:abstractNumId w:val="0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5D"/>
    <w:rsid w:val="00020B8C"/>
    <w:rsid w:val="000450B1"/>
    <w:rsid w:val="000E6736"/>
    <w:rsid w:val="00185886"/>
    <w:rsid w:val="001F5260"/>
    <w:rsid w:val="002570EC"/>
    <w:rsid w:val="003127B1"/>
    <w:rsid w:val="0033710B"/>
    <w:rsid w:val="003827F5"/>
    <w:rsid w:val="003D04CF"/>
    <w:rsid w:val="004803ED"/>
    <w:rsid w:val="004E4E62"/>
    <w:rsid w:val="0060339A"/>
    <w:rsid w:val="0065257C"/>
    <w:rsid w:val="008716BF"/>
    <w:rsid w:val="008F4B5C"/>
    <w:rsid w:val="0091797F"/>
    <w:rsid w:val="009B56EF"/>
    <w:rsid w:val="00A93B5D"/>
    <w:rsid w:val="00B61F83"/>
    <w:rsid w:val="00BE79A2"/>
    <w:rsid w:val="00C317D3"/>
    <w:rsid w:val="00DE0CD5"/>
    <w:rsid w:val="00F6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6EF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82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6EF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82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9E62-3913-4081-9421-CE7C4744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4851</Words>
  <Characters>29106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Łapiejko</dc:creator>
  <cp:lastModifiedBy>Ela Sobczyk</cp:lastModifiedBy>
  <cp:revision>9</cp:revision>
  <cp:lastPrinted>2017-08-24T06:03:00Z</cp:lastPrinted>
  <dcterms:created xsi:type="dcterms:W3CDTF">2017-08-18T07:33:00Z</dcterms:created>
  <dcterms:modified xsi:type="dcterms:W3CDTF">2017-08-24T12:27:00Z</dcterms:modified>
</cp:coreProperties>
</file>