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E7" w:rsidRPr="000836C9" w:rsidRDefault="004904E7" w:rsidP="004904E7">
      <w:pPr>
        <w:jc w:val="center"/>
        <w:rPr>
          <w:rFonts w:ascii="Arial" w:hAnsi="Arial" w:cs="Arial"/>
          <w:b/>
          <w:sz w:val="28"/>
        </w:rPr>
      </w:pPr>
    </w:p>
    <w:p w:rsidR="004904E7" w:rsidRPr="000836C9" w:rsidRDefault="004904E7" w:rsidP="004904E7">
      <w:pPr>
        <w:jc w:val="center"/>
        <w:rPr>
          <w:rFonts w:ascii="Arial" w:hAnsi="Arial" w:cs="Arial"/>
          <w:b/>
          <w:sz w:val="28"/>
        </w:rPr>
      </w:pPr>
    </w:p>
    <w:p w:rsidR="004904E7" w:rsidRPr="000836C9" w:rsidRDefault="004904E7" w:rsidP="004904E7">
      <w:pPr>
        <w:jc w:val="center"/>
        <w:rPr>
          <w:rFonts w:ascii="Arial" w:hAnsi="Arial" w:cs="Arial"/>
          <w:b/>
          <w:sz w:val="28"/>
        </w:rPr>
      </w:pPr>
    </w:p>
    <w:p w:rsidR="004904E7" w:rsidRPr="000836C9" w:rsidRDefault="004904E7" w:rsidP="004904E7">
      <w:pPr>
        <w:jc w:val="center"/>
        <w:rPr>
          <w:rFonts w:ascii="Arial" w:hAnsi="Arial" w:cs="Arial"/>
          <w:b/>
          <w:sz w:val="28"/>
        </w:rPr>
      </w:pPr>
    </w:p>
    <w:p w:rsidR="004904E7" w:rsidRPr="000836C9" w:rsidRDefault="004904E7" w:rsidP="004904E7">
      <w:pPr>
        <w:jc w:val="center"/>
        <w:rPr>
          <w:rFonts w:ascii="Arial" w:hAnsi="Arial" w:cs="Arial"/>
          <w:b/>
          <w:sz w:val="28"/>
        </w:rPr>
      </w:pPr>
      <w:r w:rsidRPr="000836C9">
        <w:rPr>
          <w:rFonts w:ascii="Arial" w:hAnsi="Arial" w:cs="Arial"/>
          <w:b/>
          <w:sz w:val="28"/>
        </w:rPr>
        <w:t>PODSUMOWANIE</w:t>
      </w:r>
    </w:p>
    <w:p w:rsidR="004904E7" w:rsidRPr="000836C9" w:rsidRDefault="004904E7" w:rsidP="004904E7">
      <w:pPr>
        <w:jc w:val="center"/>
        <w:rPr>
          <w:rFonts w:ascii="Arial" w:hAnsi="Arial" w:cs="Arial"/>
          <w:b/>
          <w:sz w:val="28"/>
        </w:rPr>
      </w:pPr>
      <w:r w:rsidRPr="000836C9">
        <w:rPr>
          <w:rFonts w:ascii="Arial" w:hAnsi="Arial" w:cs="Arial"/>
          <w:b/>
          <w:sz w:val="28"/>
        </w:rPr>
        <w:t xml:space="preserve">STRATEGICZNEJ OCENY ODDZIAŁYWANIA NA ŚRODOWISKO </w:t>
      </w:r>
    </w:p>
    <w:p w:rsidR="004904E7" w:rsidRPr="000836C9" w:rsidRDefault="005B42C3" w:rsidP="004904E7">
      <w:pPr>
        <w:jc w:val="center"/>
        <w:rPr>
          <w:rFonts w:ascii="Arial" w:hAnsi="Arial" w:cs="Arial"/>
          <w:sz w:val="24"/>
        </w:rPr>
      </w:pPr>
      <w:r w:rsidRPr="000836C9">
        <w:rPr>
          <w:rFonts w:ascii="Arial" w:hAnsi="Arial" w:cs="Arial"/>
          <w:sz w:val="24"/>
        </w:rPr>
        <w:t xml:space="preserve">dla </w:t>
      </w:r>
    </w:p>
    <w:p w:rsidR="005B42C3" w:rsidRPr="00007945" w:rsidRDefault="005B42C3" w:rsidP="004904E7">
      <w:pPr>
        <w:jc w:val="center"/>
        <w:rPr>
          <w:rFonts w:ascii="Arial" w:hAnsi="Arial" w:cs="Arial"/>
          <w:b/>
          <w:i/>
          <w:sz w:val="28"/>
        </w:rPr>
      </w:pPr>
      <w:r w:rsidRPr="00007945">
        <w:rPr>
          <w:rFonts w:ascii="Arial" w:hAnsi="Arial" w:cs="Arial"/>
          <w:b/>
          <w:i/>
          <w:sz w:val="28"/>
        </w:rPr>
        <w:t xml:space="preserve">Ponadlokalnego programu rewitalizacji sieci miast </w:t>
      </w:r>
      <w:proofErr w:type="spellStart"/>
      <w:r w:rsidRPr="00007945">
        <w:rPr>
          <w:rFonts w:ascii="Arial" w:hAnsi="Arial" w:cs="Arial"/>
          <w:b/>
          <w:i/>
          <w:sz w:val="28"/>
        </w:rPr>
        <w:t>Cittaslow</w:t>
      </w:r>
      <w:proofErr w:type="spellEnd"/>
    </w:p>
    <w:p w:rsidR="005B42C3" w:rsidRPr="000836C9" w:rsidRDefault="005B42C3" w:rsidP="004904E7">
      <w:pPr>
        <w:jc w:val="center"/>
        <w:rPr>
          <w:rFonts w:ascii="Arial" w:hAnsi="Arial" w:cs="Arial"/>
          <w:b/>
          <w:i/>
          <w:sz w:val="24"/>
        </w:rPr>
      </w:pPr>
    </w:p>
    <w:p w:rsidR="004904E7" w:rsidRPr="000836C9" w:rsidRDefault="004904E7" w:rsidP="004904E7">
      <w:pPr>
        <w:rPr>
          <w:rFonts w:ascii="Arial" w:hAnsi="Arial" w:cs="Arial"/>
          <w:sz w:val="24"/>
        </w:rPr>
      </w:pPr>
    </w:p>
    <w:p w:rsidR="004904E7" w:rsidRPr="000836C9" w:rsidRDefault="008F65C2" w:rsidP="008F65C2">
      <w:pPr>
        <w:jc w:val="center"/>
        <w:rPr>
          <w:rFonts w:ascii="Arial" w:hAnsi="Arial" w:cs="Arial"/>
          <w:sz w:val="24"/>
        </w:rPr>
      </w:pPr>
      <w:r>
        <w:rPr>
          <w:rFonts w:ascii="Arial" w:hAnsi="Arial" w:cs="Arial"/>
          <w:noProof/>
          <w:sz w:val="24"/>
          <w:lang w:eastAsia="pl-PL"/>
        </w:rPr>
        <w:drawing>
          <wp:inline distT="0" distB="0" distL="0" distR="0" wp14:anchorId="4A890ADF">
            <wp:extent cx="4572635" cy="3048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635" cy="3048000"/>
                    </a:xfrm>
                    <a:prstGeom prst="rect">
                      <a:avLst/>
                    </a:prstGeom>
                    <a:noFill/>
                  </pic:spPr>
                </pic:pic>
              </a:graphicData>
            </a:graphic>
          </wp:inline>
        </w:drawing>
      </w:r>
    </w:p>
    <w:p w:rsidR="00C00B5C" w:rsidRPr="000836C9" w:rsidRDefault="00C00B5C" w:rsidP="004904E7">
      <w:pPr>
        <w:jc w:val="center"/>
        <w:rPr>
          <w:rFonts w:ascii="Arial" w:hAnsi="Arial" w:cs="Arial"/>
          <w:noProof/>
          <w:sz w:val="24"/>
          <w:lang w:eastAsia="pl-PL"/>
        </w:rPr>
      </w:pPr>
    </w:p>
    <w:p w:rsidR="00707C70" w:rsidRPr="000836C9" w:rsidRDefault="00707C70" w:rsidP="004904E7">
      <w:pPr>
        <w:jc w:val="center"/>
        <w:rPr>
          <w:rFonts w:ascii="Arial" w:hAnsi="Arial" w:cs="Arial"/>
          <w:noProof/>
          <w:sz w:val="24"/>
          <w:lang w:eastAsia="pl-PL"/>
        </w:rPr>
      </w:pPr>
    </w:p>
    <w:p w:rsidR="00707C70" w:rsidRPr="000836C9" w:rsidRDefault="00707C70" w:rsidP="004904E7">
      <w:pPr>
        <w:jc w:val="center"/>
        <w:rPr>
          <w:rFonts w:ascii="Arial" w:hAnsi="Arial" w:cs="Arial"/>
          <w:noProof/>
          <w:sz w:val="24"/>
          <w:lang w:eastAsia="pl-PL"/>
        </w:rPr>
      </w:pPr>
    </w:p>
    <w:p w:rsidR="00707C70" w:rsidRPr="000836C9" w:rsidRDefault="00707C70" w:rsidP="004904E7">
      <w:pPr>
        <w:jc w:val="center"/>
        <w:rPr>
          <w:rFonts w:ascii="Arial" w:hAnsi="Arial" w:cs="Arial"/>
          <w:noProof/>
          <w:sz w:val="24"/>
          <w:lang w:eastAsia="pl-PL"/>
        </w:rPr>
      </w:pPr>
    </w:p>
    <w:p w:rsidR="004904E7" w:rsidRPr="000836C9" w:rsidRDefault="004904E7" w:rsidP="004904E7">
      <w:pPr>
        <w:jc w:val="center"/>
        <w:rPr>
          <w:rFonts w:ascii="Arial" w:hAnsi="Arial" w:cs="Arial"/>
          <w:sz w:val="24"/>
        </w:rPr>
      </w:pPr>
    </w:p>
    <w:p w:rsidR="004904E7" w:rsidRPr="000836C9" w:rsidRDefault="004904E7" w:rsidP="004904E7">
      <w:pPr>
        <w:jc w:val="center"/>
        <w:rPr>
          <w:rFonts w:ascii="Arial" w:hAnsi="Arial" w:cs="Arial"/>
          <w:sz w:val="20"/>
        </w:rPr>
      </w:pPr>
    </w:p>
    <w:p w:rsidR="004904E7" w:rsidRPr="000836C9" w:rsidRDefault="004904E7" w:rsidP="004904E7">
      <w:pPr>
        <w:jc w:val="center"/>
        <w:rPr>
          <w:rFonts w:ascii="Arial" w:hAnsi="Arial" w:cs="Arial"/>
          <w:sz w:val="20"/>
        </w:rPr>
      </w:pPr>
      <w:r w:rsidRPr="000836C9">
        <w:rPr>
          <w:rFonts w:ascii="Arial" w:hAnsi="Arial" w:cs="Arial"/>
          <w:sz w:val="20"/>
        </w:rPr>
        <w:t>Lipiec 201</w:t>
      </w:r>
      <w:r w:rsidR="005B42C3" w:rsidRPr="000836C9">
        <w:rPr>
          <w:rFonts w:ascii="Arial" w:hAnsi="Arial" w:cs="Arial"/>
          <w:sz w:val="20"/>
        </w:rPr>
        <w:t>5</w:t>
      </w:r>
      <w:r w:rsidRPr="000836C9">
        <w:rPr>
          <w:rFonts w:ascii="Arial" w:hAnsi="Arial" w:cs="Arial"/>
          <w:sz w:val="20"/>
        </w:rPr>
        <w:t xml:space="preserve"> r.</w:t>
      </w:r>
    </w:p>
    <w:p w:rsidR="004904E7" w:rsidRPr="000836C9" w:rsidRDefault="004904E7" w:rsidP="004A05B0">
      <w:pPr>
        <w:autoSpaceDE w:val="0"/>
        <w:autoSpaceDN w:val="0"/>
        <w:adjustRightInd w:val="0"/>
        <w:spacing w:after="0"/>
        <w:jc w:val="both"/>
        <w:rPr>
          <w:rFonts w:ascii="Arial" w:eastAsia="Times New Roman" w:hAnsi="Arial" w:cs="Arial"/>
          <w:b/>
          <w:lang w:eastAsia="pl-PL"/>
        </w:rPr>
      </w:pPr>
      <w:r w:rsidRPr="000836C9">
        <w:rPr>
          <w:rFonts w:ascii="Arial" w:eastAsia="Times New Roman" w:hAnsi="Arial" w:cs="Arial"/>
          <w:b/>
          <w:lang w:eastAsia="pl-PL"/>
        </w:rPr>
        <w:lastRenderedPageBreak/>
        <w:t>Podstawa prawna:</w:t>
      </w:r>
    </w:p>
    <w:p w:rsidR="004904E7" w:rsidRPr="000836C9" w:rsidRDefault="004904E7" w:rsidP="004A05B0">
      <w:pPr>
        <w:tabs>
          <w:tab w:val="left" w:pos="4678"/>
        </w:tabs>
        <w:autoSpaceDE w:val="0"/>
        <w:autoSpaceDN w:val="0"/>
        <w:adjustRightInd w:val="0"/>
        <w:spacing w:after="0"/>
        <w:jc w:val="both"/>
        <w:rPr>
          <w:rFonts w:ascii="Arial" w:eastAsia="Times New Roman" w:hAnsi="Arial" w:cs="Arial"/>
          <w:lang w:eastAsia="pl-PL"/>
        </w:rPr>
      </w:pPr>
      <w:r w:rsidRPr="000836C9">
        <w:rPr>
          <w:rFonts w:ascii="Arial" w:eastAsia="Times New Roman" w:hAnsi="Arial" w:cs="Arial"/>
          <w:lang w:eastAsia="pl-PL"/>
        </w:rPr>
        <w:t xml:space="preserve">Ustawa z dnia 3 października 2008 roku </w:t>
      </w:r>
      <w:r w:rsidRPr="000836C9">
        <w:rPr>
          <w:rFonts w:ascii="Arial" w:eastAsia="Times New Roman" w:hAnsi="Arial" w:cs="Arial"/>
          <w:i/>
          <w:iCs/>
          <w:lang w:eastAsia="pl-PL"/>
        </w:rPr>
        <w:t>o udost</w:t>
      </w:r>
      <w:r w:rsidRPr="000836C9">
        <w:rPr>
          <w:rFonts w:ascii="Arial" w:eastAsia="Times New Roman" w:hAnsi="Arial" w:cs="Arial"/>
          <w:lang w:eastAsia="pl-PL"/>
        </w:rPr>
        <w:t>ę</w:t>
      </w:r>
      <w:r w:rsidRPr="000836C9">
        <w:rPr>
          <w:rFonts w:ascii="Arial" w:eastAsia="Times New Roman" w:hAnsi="Arial" w:cs="Arial"/>
          <w:i/>
          <w:iCs/>
          <w:lang w:eastAsia="pl-PL"/>
        </w:rPr>
        <w:t xml:space="preserve">pnianiu informacji o </w:t>
      </w:r>
      <w:r w:rsidRPr="000836C9">
        <w:rPr>
          <w:rFonts w:ascii="Arial" w:eastAsia="Times New Roman" w:hAnsi="Arial" w:cs="Arial"/>
          <w:lang w:eastAsia="pl-PL"/>
        </w:rPr>
        <w:t>ś</w:t>
      </w:r>
      <w:r w:rsidRPr="000836C9">
        <w:rPr>
          <w:rFonts w:ascii="Arial" w:eastAsia="Times New Roman" w:hAnsi="Arial" w:cs="Arial"/>
          <w:i/>
          <w:iCs/>
          <w:lang w:eastAsia="pl-PL"/>
        </w:rPr>
        <w:t>rodowisku i jego ochronie, udziale społecze</w:t>
      </w:r>
      <w:r w:rsidRPr="000836C9">
        <w:rPr>
          <w:rFonts w:ascii="Arial" w:eastAsia="Times New Roman" w:hAnsi="Arial" w:cs="Arial"/>
          <w:lang w:eastAsia="pl-PL"/>
        </w:rPr>
        <w:t>ń</w:t>
      </w:r>
      <w:r w:rsidRPr="000836C9">
        <w:rPr>
          <w:rFonts w:ascii="Arial" w:eastAsia="Times New Roman" w:hAnsi="Arial" w:cs="Arial"/>
          <w:i/>
          <w:iCs/>
          <w:lang w:eastAsia="pl-PL"/>
        </w:rPr>
        <w:t xml:space="preserve">stwa w ochronie </w:t>
      </w:r>
      <w:r w:rsidRPr="000836C9">
        <w:rPr>
          <w:rFonts w:ascii="Arial" w:eastAsia="Times New Roman" w:hAnsi="Arial" w:cs="Arial"/>
          <w:lang w:eastAsia="pl-PL"/>
        </w:rPr>
        <w:t>ś</w:t>
      </w:r>
      <w:r w:rsidRPr="000836C9">
        <w:rPr>
          <w:rFonts w:ascii="Arial" w:eastAsia="Times New Roman" w:hAnsi="Arial" w:cs="Arial"/>
          <w:i/>
          <w:iCs/>
          <w:lang w:eastAsia="pl-PL"/>
        </w:rPr>
        <w:t xml:space="preserve">rodowiska oraz ocenach  oddziaływania na </w:t>
      </w:r>
      <w:r w:rsidRPr="000836C9">
        <w:rPr>
          <w:rFonts w:ascii="Arial" w:eastAsia="Times New Roman" w:hAnsi="Arial" w:cs="Arial"/>
          <w:lang w:eastAsia="pl-PL"/>
        </w:rPr>
        <w:t>ś</w:t>
      </w:r>
      <w:r w:rsidRPr="000836C9">
        <w:rPr>
          <w:rFonts w:ascii="Arial" w:eastAsia="Times New Roman" w:hAnsi="Arial" w:cs="Arial"/>
          <w:i/>
          <w:iCs/>
          <w:lang w:eastAsia="pl-PL"/>
        </w:rPr>
        <w:t xml:space="preserve">rodowisko </w:t>
      </w:r>
      <w:r w:rsidRPr="000836C9">
        <w:rPr>
          <w:rFonts w:ascii="Arial" w:eastAsia="Times New Roman" w:hAnsi="Arial" w:cs="Arial"/>
          <w:lang w:eastAsia="pl-PL"/>
        </w:rPr>
        <w:t xml:space="preserve">(Dz. U. Nr 199, poz. 1227 z </w:t>
      </w:r>
      <w:proofErr w:type="spellStart"/>
      <w:r w:rsidRPr="000836C9">
        <w:rPr>
          <w:rFonts w:ascii="Arial" w:eastAsia="Times New Roman" w:hAnsi="Arial" w:cs="Arial"/>
          <w:lang w:eastAsia="pl-PL"/>
        </w:rPr>
        <w:t>późn</w:t>
      </w:r>
      <w:proofErr w:type="spellEnd"/>
      <w:r w:rsidRPr="000836C9">
        <w:rPr>
          <w:rFonts w:ascii="Arial" w:eastAsia="Times New Roman" w:hAnsi="Arial" w:cs="Arial"/>
          <w:lang w:eastAsia="pl-PL"/>
        </w:rPr>
        <w:t>. zm.), w szczególności art. 55, ust. 3, który określa zakres Podsumowania.</w:t>
      </w:r>
    </w:p>
    <w:p w:rsidR="004904E7" w:rsidRPr="000836C9" w:rsidRDefault="004904E7" w:rsidP="004A05B0">
      <w:pPr>
        <w:tabs>
          <w:tab w:val="left" w:pos="960"/>
          <w:tab w:val="left" w:pos="4678"/>
        </w:tabs>
        <w:spacing w:after="0"/>
        <w:jc w:val="both"/>
        <w:rPr>
          <w:rFonts w:ascii="Arial" w:hAnsi="Arial" w:cs="Arial"/>
        </w:rPr>
      </w:pPr>
      <w:r w:rsidRPr="000836C9">
        <w:rPr>
          <w:rFonts w:ascii="Arial" w:hAnsi="Arial" w:cs="Arial"/>
        </w:rPr>
        <w:t>Po przeprowadzeniu strategicznej oceny oddziaływania na środowisko, zgodnie z art. 55 ust. 3 ww. ustawy o udostępnieniu informacji o środowisku i jego ochronie, udziale społeczeństwa w ochronie środowiska oraz o ocenach oddziaływania na środowisko (tj. Dz.U.2013 poz. 1235 z późn.zm.) do przyjętego dokumentu załącza się pisemne podsumowanie zawierające uzasadnienie wyboru przyjętego dokumentu, a także informację, w jaki sposób zostały wzięte pod uwagę i w jaki sposób zostały wzięte pod uwagę i w jakim zakresie zostały uwzględnione:</w:t>
      </w:r>
    </w:p>
    <w:p w:rsidR="004904E7" w:rsidRPr="000836C9" w:rsidRDefault="004904E7" w:rsidP="004A05B0">
      <w:pPr>
        <w:pStyle w:val="Akapitzlist"/>
        <w:numPr>
          <w:ilvl w:val="0"/>
          <w:numId w:val="1"/>
        </w:numPr>
        <w:tabs>
          <w:tab w:val="left" w:pos="960"/>
          <w:tab w:val="left" w:pos="4678"/>
        </w:tabs>
        <w:spacing w:after="0"/>
        <w:jc w:val="both"/>
        <w:rPr>
          <w:rFonts w:ascii="Arial" w:hAnsi="Arial" w:cs="Arial"/>
        </w:rPr>
      </w:pPr>
      <w:r w:rsidRPr="000836C9">
        <w:rPr>
          <w:rFonts w:ascii="Arial" w:hAnsi="Arial" w:cs="Arial"/>
        </w:rPr>
        <w:t>Ustalenia zawarte w prognozie oddziaływania na środowisko;</w:t>
      </w:r>
    </w:p>
    <w:p w:rsidR="004904E7" w:rsidRPr="000836C9" w:rsidRDefault="004904E7" w:rsidP="004A05B0">
      <w:pPr>
        <w:pStyle w:val="Akapitzlist"/>
        <w:numPr>
          <w:ilvl w:val="0"/>
          <w:numId w:val="1"/>
        </w:numPr>
        <w:tabs>
          <w:tab w:val="left" w:pos="960"/>
          <w:tab w:val="left" w:pos="4678"/>
        </w:tabs>
        <w:spacing w:after="0"/>
        <w:jc w:val="both"/>
        <w:rPr>
          <w:rFonts w:ascii="Arial" w:hAnsi="Arial" w:cs="Arial"/>
        </w:rPr>
      </w:pPr>
      <w:r w:rsidRPr="000836C9">
        <w:rPr>
          <w:rFonts w:ascii="Arial" w:hAnsi="Arial" w:cs="Arial"/>
        </w:rPr>
        <w:t>Opinie właściwych organów, o których mowa w art. 57 i 58 (Regionalnego Dyrektora Ochrony Środowiska oraz Państwowego Wojewódzkiego Inspektoratu Sanitarnego);</w:t>
      </w:r>
    </w:p>
    <w:p w:rsidR="004904E7" w:rsidRPr="000836C9" w:rsidRDefault="004904E7" w:rsidP="004A05B0">
      <w:pPr>
        <w:pStyle w:val="Akapitzlist"/>
        <w:numPr>
          <w:ilvl w:val="0"/>
          <w:numId w:val="1"/>
        </w:numPr>
        <w:tabs>
          <w:tab w:val="left" w:pos="960"/>
          <w:tab w:val="left" w:pos="4678"/>
        </w:tabs>
        <w:spacing w:after="0"/>
        <w:jc w:val="both"/>
        <w:rPr>
          <w:rFonts w:ascii="Arial" w:hAnsi="Arial" w:cs="Arial"/>
        </w:rPr>
      </w:pPr>
      <w:r w:rsidRPr="000836C9">
        <w:rPr>
          <w:rFonts w:ascii="Arial" w:hAnsi="Arial" w:cs="Arial"/>
        </w:rPr>
        <w:t>Zgłoszone uwagi i wnioski;</w:t>
      </w:r>
    </w:p>
    <w:p w:rsidR="004904E7" w:rsidRPr="000836C9" w:rsidRDefault="00930611" w:rsidP="004A05B0">
      <w:pPr>
        <w:pStyle w:val="Akapitzlist"/>
        <w:numPr>
          <w:ilvl w:val="0"/>
          <w:numId w:val="1"/>
        </w:numPr>
        <w:tabs>
          <w:tab w:val="left" w:pos="960"/>
          <w:tab w:val="left" w:pos="4678"/>
        </w:tabs>
        <w:spacing w:after="0"/>
        <w:jc w:val="both"/>
        <w:rPr>
          <w:rFonts w:ascii="Arial" w:hAnsi="Arial" w:cs="Arial"/>
        </w:rPr>
      </w:pPr>
      <w:r w:rsidRPr="000836C9">
        <w:rPr>
          <w:rFonts w:ascii="Arial" w:hAnsi="Arial" w:cs="Arial"/>
        </w:rPr>
        <w:t>Wyniki postępowania dotyczącego transgranicznego oddziaływania na środowisko, jeżeli zostało przeprowadzone;</w:t>
      </w:r>
    </w:p>
    <w:p w:rsidR="00930611" w:rsidRPr="000836C9" w:rsidRDefault="00930611" w:rsidP="004A05B0">
      <w:pPr>
        <w:pStyle w:val="Akapitzlist"/>
        <w:numPr>
          <w:ilvl w:val="0"/>
          <w:numId w:val="1"/>
        </w:numPr>
        <w:tabs>
          <w:tab w:val="left" w:pos="960"/>
          <w:tab w:val="left" w:pos="4678"/>
        </w:tabs>
        <w:spacing w:before="240"/>
        <w:jc w:val="both"/>
        <w:rPr>
          <w:rFonts w:ascii="Arial" w:hAnsi="Arial" w:cs="Arial"/>
        </w:rPr>
      </w:pPr>
      <w:r w:rsidRPr="000836C9">
        <w:rPr>
          <w:rFonts w:ascii="Arial" w:hAnsi="Arial" w:cs="Arial"/>
        </w:rPr>
        <w:t>Propozycje dotyczące metod i częstotliwości przeprowadzenia monitoringu skutków realizacji postanowień dokumentu.</w:t>
      </w:r>
    </w:p>
    <w:p w:rsidR="00930611" w:rsidRPr="000836C9" w:rsidRDefault="00930611" w:rsidP="004A05B0">
      <w:pPr>
        <w:numPr>
          <w:ilvl w:val="0"/>
          <w:numId w:val="2"/>
        </w:numPr>
        <w:tabs>
          <w:tab w:val="clear" w:pos="720"/>
          <w:tab w:val="num" w:pos="360"/>
        </w:tabs>
        <w:autoSpaceDE w:val="0"/>
        <w:autoSpaceDN w:val="0"/>
        <w:adjustRightInd w:val="0"/>
        <w:spacing w:after="0"/>
        <w:ind w:left="360"/>
        <w:jc w:val="both"/>
        <w:rPr>
          <w:rFonts w:ascii="Arial" w:hAnsi="Arial" w:cs="Arial"/>
          <w:b/>
          <w:bCs/>
        </w:rPr>
      </w:pPr>
      <w:r w:rsidRPr="000836C9">
        <w:rPr>
          <w:rFonts w:ascii="Arial" w:hAnsi="Arial" w:cs="Arial"/>
          <w:b/>
          <w:bCs/>
        </w:rPr>
        <w:t xml:space="preserve">USTALENIA ZAWARTE W PROGNOZIE ODDZIAŁYWANIA NA </w:t>
      </w:r>
      <w:r w:rsidRPr="000836C9">
        <w:rPr>
          <w:rFonts w:ascii="Arial" w:hAnsi="Arial" w:cs="Arial"/>
          <w:b/>
        </w:rPr>
        <w:t>Ś</w:t>
      </w:r>
      <w:r w:rsidRPr="000836C9">
        <w:rPr>
          <w:rFonts w:ascii="Arial" w:hAnsi="Arial" w:cs="Arial"/>
          <w:b/>
          <w:bCs/>
        </w:rPr>
        <w:t>RODOWISKO</w:t>
      </w:r>
    </w:p>
    <w:p w:rsidR="00930611" w:rsidRPr="000836C9" w:rsidRDefault="00930611" w:rsidP="004A05B0">
      <w:pPr>
        <w:autoSpaceDE w:val="0"/>
        <w:autoSpaceDN w:val="0"/>
        <w:adjustRightInd w:val="0"/>
        <w:rPr>
          <w:rFonts w:ascii="Arial" w:hAnsi="Arial" w:cs="Arial"/>
          <w:b/>
          <w:bCs/>
        </w:rPr>
      </w:pPr>
    </w:p>
    <w:p w:rsidR="00930611" w:rsidRPr="000836C9" w:rsidRDefault="005B42C3" w:rsidP="004A05B0">
      <w:pPr>
        <w:autoSpaceDE w:val="0"/>
        <w:autoSpaceDN w:val="0"/>
        <w:adjustRightInd w:val="0"/>
        <w:jc w:val="both"/>
        <w:rPr>
          <w:rFonts w:ascii="Arial" w:hAnsi="Arial" w:cs="Arial"/>
        </w:rPr>
      </w:pPr>
      <w:r w:rsidRPr="00A8628D">
        <w:rPr>
          <w:rFonts w:ascii="Arial" w:hAnsi="Arial" w:cs="Arial"/>
          <w:i/>
        </w:rPr>
        <w:t xml:space="preserve">Ponadlokalny program rewitalizacji sieci miast </w:t>
      </w:r>
      <w:proofErr w:type="spellStart"/>
      <w:r w:rsidRPr="00A8628D">
        <w:rPr>
          <w:rFonts w:ascii="Arial" w:hAnsi="Arial" w:cs="Arial"/>
          <w:i/>
        </w:rPr>
        <w:t>Cittaslow</w:t>
      </w:r>
      <w:proofErr w:type="spellEnd"/>
      <w:r w:rsidR="00930611" w:rsidRPr="000836C9">
        <w:rPr>
          <w:rFonts w:ascii="Arial" w:hAnsi="Arial" w:cs="Arial"/>
        </w:rPr>
        <w:t xml:space="preserve"> jest </w:t>
      </w:r>
      <w:r w:rsidRPr="000836C9">
        <w:rPr>
          <w:rFonts w:ascii="Arial" w:hAnsi="Arial" w:cs="Arial"/>
        </w:rPr>
        <w:t xml:space="preserve">wieloletnim programem operacyjnym i będzie posiadał charakter podrzędny w stosunku do strategii rozwoju poszczególnych miast, tym samym zasadne jest uznanie go za również za dokument strategiczny. Dokument określa cele i działania rozwoju gmin należących do sieci miast </w:t>
      </w:r>
      <w:proofErr w:type="spellStart"/>
      <w:r w:rsidRPr="000836C9">
        <w:rPr>
          <w:rFonts w:ascii="Arial" w:hAnsi="Arial" w:cs="Arial"/>
        </w:rPr>
        <w:t>Cittaslow</w:t>
      </w:r>
      <w:proofErr w:type="spellEnd"/>
      <w:r w:rsidRPr="000836C9">
        <w:rPr>
          <w:rFonts w:ascii="Arial" w:hAnsi="Arial" w:cs="Arial"/>
        </w:rPr>
        <w:t xml:space="preserve"> z województwa warmińsko-mazurskiego.</w:t>
      </w:r>
      <w:r w:rsidR="00690808" w:rsidRPr="000836C9">
        <w:rPr>
          <w:rFonts w:ascii="Arial" w:hAnsi="Arial" w:cs="Arial"/>
        </w:rPr>
        <w:t xml:space="preserve"> Do sieci miast </w:t>
      </w:r>
      <w:proofErr w:type="spellStart"/>
      <w:r w:rsidR="00690808" w:rsidRPr="000836C9">
        <w:rPr>
          <w:rFonts w:ascii="Arial" w:hAnsi="Arial" w:cs="Arial"/>
        </w:rPr>
        <w:t>Cittaslow</w:t>
      </w:r>
      <w:proofErr w:type="spellEnd"/>
      <w:r w:rsidR="00690808" w:rsidRPr="000836C9">
        <w:rPr>
          <w:rFonts w:ascii="Arial" w:hAnsi="Arial" w:cs="Arial"/>
        </w:rPr>
        <w:t xml:space="preserve"> z województwa warmińsko-mazurskiego należą miasta: Barczewo, Biskupiec, Bisztynek, Dobre Miasto, Gołdap, Górowo Iławeckie, Lidzbark Warmiński, Lubawa, Nidzica, Nowe Miasto Lubawskie, Olsztynek, Pasym, Reszel i Ryn. W ramach Programu Obszar miast biorących udział w Programie zajmuje ok. 117,37 km</w:t>
      </w:r>
      <w:r w:rsidR="00690808" w:rsidRPr="000836C9">
        <w:rPr>
          <w:rFonts w:ascii="Arial" w:hAnsi="Arial" w:cs="Arial"/>
          <w:vertAlign w:val="superscript"/>
        </w:rPr>
        <w:t>2</w:t>
      </w:r>
      <w:r w:rsidR="00690808" w:rsidRPr="000836C9">
        <w:rPr>
          <w:rFonts w:ascii="Arial" w:hAnsi="Arial" w:cs="Arial"/>
        </w:rPr>
        <w:t xml:space="preserve"> i stanowi ok. 4,25% powierzchni całkowitej gmin. </w:t>
      </w:r>
    </w:p>
    <w:p w:rsidR="000836C9" w:rsidRPr="000836C9" w:rsidRDefault="000836C9" w:rsidP="004A05B0">
      <w:pPr>
        <w:autoSpaceDE w:val="0"/>
        <w:autoSpaceDN w:val="0"/>
        <w:adjustRightInd w:val="0"/>
        <w:jc w:val="both"/>
        <w:rPr>
          <w:rFonts w:ascii="Arial" w:hAnsi="Arial" w:cs="Arial"/>
        </w:rPr>
      </w:pPr>
      <w:r w:rsidRPr="000836C9">
        <w:rPr>
          <w:rFonts w:ascii="Arial" w:hAnsi="Arial" w:cs="Arial"/>
        </w:rPr>
        <w:t xml:space="preserve">W Programie dokonano zdefiniowania pojęcia rewitalizacji, pojmowanej jako zespół kompleksowych działań na terenie miasta, przede wszystkim w starych dzielnicach, zaniedbanych pod względem przestrzennym, gospodarczym, estetycznym, infrastrukturalnym, komunikacyjnym i funkcjonalnym, zagrożonych wykluczeniem społecznym. Rewitalizacja prowadzi do poprawy jakości życia lokalnej społeczności. Poprawa ta obejmuje szereg dziedzin życia, w tym również poprawę stanu środowiska naturalnego. W miastach sieci </w:t>
      </w:r>
      <w:proofErr w:type="spellStart"/>
      <w:r w:rsidRPr="000836C9">
        <w:rPr>
          <w:rFonts w:ascii="Arial" w:hAnsi="Arial" w:cs="Arial"/>
        </w:rPr>
        <w:t>Cittaslow</w:t>
      </w:r>
      <w:proofErr w:type="spellEnd"/>
      <w:r w:rsidRPr="000836C9">
        <w:rPr>
          <w:rFonts w:ascii="Arial" w:hAnsi="Arial" w:cs="Arial"/>
        </w:rPr>
        <w:t xml:space="preserve"> realizowana jest polityka środowiskowa dążąca do utrzymania i rozwoju charakterystycznych cech obszaru i zabudowy miejskiej; promuje się także technologie skierowane na poprawę wartości środowiska naturalnego i zabudowy miejskiej. </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 xml:space="preserve">Projekty infrastrukturalne realizowane w ramach </w:t>
      </w:r>
      <w:r w:rsidR="000836C9" w:rsidRPr="00A8628D">
        <w:rPr>
          <w:rFonts w:ascii="Arial" w:hAnsi="Arial" w:cs="Arial"/>
          <w:i/>
        </w:rPr>
        <w:t xml:space="preserve">Ponadlokalnego programu rewitalizacji sieci miast </w:t>
      </w:r>
      <w:proofErr w:type="spellStart"/>
      <w:r w:rsidR="000836C9" w:rsidRPr="00A8628D">
        <w:rPr>
          <w:rFonts w:ascii="Arial" w:hAnsi="Arial" w:cs="Arial"/>
          <w:i/>
        </w:rPr>
        <w:t>Cittaslow</w:t>
      </w:r>
      <w:proofErr w:type="spellEnd"/>
      <w:r w:rsidRPr="000836C9">
        <w:rPr>
          <w:rFonts w:ascii="Arial" w:hAnsi="Arial" w:cs="Arial"/>
        </w:rPr>
        <w:t xml:space="preserve"> mogą pozytywnie wpłynąć np. na poprawę jakości powietrza czy efektywności energetycznej.</w:t>
      </w:r>
    </w:p>
    <w:p w:rsidR="00930611" w:rsidRPr="000836C9" w:rsidRDefault="000836C9" w:rsidP="004A05B0">
      <w:pPr>
        <w:autoSpaceDE w:val="0"/>
        <w:autoSpaceDN w:val="0"/>
        <w:adjustRightInd w:val="0"/>
        <w:jc w:val="both"/>
        <w:rPr>
          <w:rFonts w:ascii="Arial" w:hAnsi="Arial" w:cs="Arial"/>
        </w:rPr>
      </w:pPr>
      <w:r>
        <w:rPr>
          <w:rFonts w:ascii="Arial" w:hAnsi="Arial" w:cs="Arial"/>
        </w:rPr>
        <w:lastRenderedPageBreak/>
        <w:t>Program</w:t>
      </w:r>
      <w:r w:rsidR="00930611" w:rsidRPr="000836C9">
        <w:rPr>
          <w:rFonts w:ascii="Arial" w:hAnsi="Arial" w:cs="Arial"/>
        </w:rPr>
        <w:t xml:space="preserve"> nie zawiera żadnego ustalenia, które stanowiłoby w sposób jawny i oczy</w:t>
      </w:r>
      <w:r w:rsidR="00A8628D">
        <w:rPr>
          <w:rFonts w:ascii="Arial" w:hAnsi="Arial" w:cs="Arial"/>
        </w:rPr>
        <w:t>wisty zagrożenie dla środowiska</w:t>
      </w:r>
      <w:r w:rsidR="00930611" w:rsidRPr="000836C9">
        <w:rPr>
          <w:rFonts w:ascii="Arial" w:hAnsi="Arial" w:cs="Arial"/>
        </w:rPr>
        <w:t xml:space="preserve"> lub degradacja środowiska służyłaby osiągnięciu celów społecznych lub gospodarczych.</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 xml:space="preserve">Wszystkie podejmowane działania maja charakter proekologiczny, bowiem ich dodatkowym efektem będzie ograniczanie niekorzystnych oddziaływań lub wzbogacenie lub estetyzacja śródmiejskiej zieleni. W realizacji planowanych działań nie dostrzega się potencjalnych możliwości zaistnienia </w:t>
      </w:r>
      <w:r w:rsidR="00A8628D">
        <w:rPr>
          <w:rFonts w:ascii="Arial" w:hAnsi="Arial" w:cs="Arial"/>
        </w:rPr>
        <w:t>„</w:t>
      </w:r>
      <w:r w:rsidRPr="000836C9">
        <w:rPr>
          <w:rFonts w:ascii="Arial" w:hAnsi="Arial" w:cs="Arial"/>
        </w:rPr>
        <w:t xml:space="preserve">konfliktów środowiskowych” – związanych bądź z degradacją przyrody na etapie realizacji przedsięwzięcia, bądź ze stałym lub czasowym negatywnym oddziaływaniem, będącym wynikiem realizacji </w:t>
      </w:r>
      <w:r w:rsidR="000836C9">
        <w:rPr>
          <w:rFonts w:ascii="Arial" w:hAnsi="Arial" w:cs="Arial"/>
        </w:rPr>
        <w:t>Programu</w:t>
      </w:r>
      <w:r w:rsidRPr="000836C9">
        <w:rPr>
          <w:rFonts w:ascii="Arial" w:hAnsi="Arial" w:cs="Arial"/>
        </w:rPr>
        <w:t>.</w:t>
      </w:r>
    </w:p>
    <w:p w:rsidR="009C329D" w:rsidRPr="000836C9" w:rsidRDefault="009C329D" w:rsidP="004A05B0">
      <w:pPr>
        <w:autoSpaceDE w:val="0"/>
        <w:autoSpaceDN w:val="0"/>
        <w:adjustRightInd w:val="0"/>
        <w:jc w:val="both"/>
        <w:rPr>
          <w:rFonts w:ascii="Arial" w:hAnsi="Arial" w:cs="Arial"/>
        </w:rPr>
      </w:pPr>
    </w:p>
    <w:p w:rsidR="00930611" w:rsidRPr="000836C9" w:rsidRDefault="00930611" w:rsidP="004A05B0">
      <w:pPr>
        <w:autoSpaceDE w:val="0"/>
        <w:autoSpaceDN w:val="0"/>
        <w:adjustRightInd w:val="0"/>
        <w:jc w:val="both"/>
        <w:rPr>
          <w:rFonts w:ascii="Arial" w:hAnsi="Arial" w:cs="Arial"/>
          <w:b/>
          <w:bCs/>
        </w:rPr>
      </w:pPr>
      <w:r w:rsidRPr="000836C9">
        <w:rPr>
          <w:rFonts w:ascii="Arial" w:hAnsi="Arial" w:cs="Arial"/>
          <w:b/>
          <w:bCs/>
        </w:rPr>
        <w:t>2. OPINIE WŁA</w:t>
      </w:r>
      <w:r w:rsidRPr="000836C9">
        <w:rPr>
          <w:rFonts w:ascii="Arial" w:hAnsi="Arial" w:cs="Arial"/>
          <w:b/>
        </w:rPr>
        <w:t>Ś</w:t>
      </w:r>
      <w:r w:rsidRPr="000836C9">
        <w:rPr>
          <w:rFonts w:ascii="Arial" w:hAnsi="Arial" w:cs="Arial"/>
          <w:b/>
          <w:bCs/>
        </w:rPr>
        <w:t>CIWYCH ORGANÓW</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Właściwymi organami, zgodnie z art. 57 i art. 58 cyt. wyżej ustawy są:</w:t>
      </w:r>
    </w:p>
    <w:p w:rsidR="00930611" w:rsidRPr="000836C9" w:rsidRDefault="00930611" w:rsidP="004A05B0">
      <w:pPr>
        <w:autoSpaceDE w:val="0"/>
        <w:autoSpaceDN w:val="0"/>
        <w:adjustRightInd w:val="0"/>
        <w:spacing w:after="0"/>
        <w:jc w:val="both"/>
        <w:rPr>
          <w:rFonts w:ascii="Arial" w:hAnsi="Arial" w:cs="Arial"/>
        </w:rPr>
      </w:pPr>
      <w:r w:rsidRPr="000836C9">
        <w:rPr>
          <w:rFonts w:ascii="Arial" w:hAnsi="Arial" w:cs="Arial"/>
        </w:rPr>
        <w:t>1) Regionalny Dyrektor Ochrony Środowiska</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2) Państwowy Wojewódzki Inspektor Sanitarny</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 xml:space="preserve">W dniu </w:t>
      </w:r>
      <w:r w:rsidR="000836C9">
        <w:rPr>
          <w:rFonts w:ascii="Arial" w:hAnsi="Arial" w:cs="Arial"/>
        </w:rPr>
        <w:t>18</w:t>
      </w:r>
      <w:r w:rsidR="003D196D" w:rsidRPr="000836C9">
        <w:rPr>
          <w:rFonts w:ascii="Arial" w:hAnsi="Arial" w:cs="Arial"/>
        </w:rPr>
        <w:t xml:space="preserve"> czerwca</w:t>
      </w:r>
      <w:r w:rsidRPr="000836C9">
        <w:rPr>
          <w:rFonts w:ascii="Arial" w:hAnsi="Arial" w:cs="Arial"/>
        </w:rPr>
        <w:t xml:space="preserve"> 20</w:t>
      </w:r>
      <w:r w:rsidR="003D196D" w:rsidRPr="000836C9">
        <w:rPr>
          <w:rFonts w:ascii="Arial" w:hAnsi="Arial" w:cs="Arial"/>
        </w:rPr>
        <w:t>1</w:t>
      </w:r>
      <w:r w:rsidR="000836C9">
        <w:rPr>
          <w:rFonts w:ascii="Arial" w:hAnsi="Arial" w:cs="Arial"/>
        </w:rPr>
        <w:t>5</w:t>
      </w:r>
      <w:r w:rsidR="003D196D" w:rsidRPr="000836C9">
        <w:rPr>
          <w:rFonts w:ascii="Arial" w:hAnsi="Arial" w:cs="Arial"/>
        </w:rPr>
        <w:t xml:space="preserve"> </w:t>
      </w:r>
      <w:r w:rsidRPr="000836C9">
        <w:rPr>
          <w:rFonts w:ascii="Arial" w:hAnsi="Arial" w:cs="Arial"/>
        </w:rPr>
        <w:t xml:space="preserve">roku </w:t>
      </w:r>
      <w:r w:rsidR="000836C9">
        <w:rPr>
          <w:rFonts w:ascii="Arial" w:hAnsi="Arial" w:cs="Arial"/>
        </w:rPr>
        <w:t>Warmińsko-Mazurska Agen</w:t>
      </w:r>
      <w:r w:rsidR="00007945">
        <w:rPr>
          <w:rFonts w:ascii="Arial" w:hAnsi="Arial" w:cs="Arial"/>
        </w:rPr>
        <w:t>cja Rozwoju Regionalnego S.A. w </w:t>
      </w:r>
      <w:r w:rsidR="000836C9">
        <w:rPr>
          <w:rFonts w:ascii="Arial" w:hAnsi="Arial" w:cs="Arial"/>
        </w:rPr>
        <w:t>Olsztynie</w:t>
      </w:r>
      <w:r w:rsidR="00326F2A">
        <w:rPr>
          <w:rFonts w:ascii="Arial" w:hAnsi="Arial" w:cs="Arial"/>
        </w:rPr>
        <w:t xml:space="preserve">, działająca w imieniu i z upoważnienia Stowarzyszenia </w:t>
      </w:r>
      <w:r w:rsidR="00263AA6">
        <w:rPr>
          <w:rFonts w:ascii="Arial" w:hAnsi="Arial" w:cs="Arial"/>
        </w:rPr>
        <w:t xml:space="preserve">Polskie </w:t>
      </w:r>
      <w:r w:rsidR="00326F2A">
        <w:rPr>
          <w:rFonts w:ascii="Arial" w:hAnsi="Arial" w:cs="Arial"/>
        </w:rPr>
        <w:t>Miast</w:t>
      </w:r>
      <w:r w:rsidR="00263AA6">
        <w:rPr>
          <w:rFonts w:ascii="Arial" w:hAnsi="Arial" w:cs="Arial"/>
        </w:rPr>
        <w:t>a</w:t>
      </w:r>
      <w:r w:rsidR="00326F2A">
        <w:rPr>
          <w:rFonts w:ascii="Arial" w:hAnsi="Arial" w:cs="Arial"/>
        </w:rPr>
        <w:t xml:space="preserve"> </w:t>
      </w:r>
      <w:proofErr w:type="spellStart"/>
      <w:r w:rsidR="00326F2A">
        <w:rPr>
          <w:rFonts w:ascii="Arial" w:hAnsi="Arial" w:cs="Arial"/>
        </w:rPr>
        <w:t>Cittaslow</w:t>
      </w:r>
      <w:proofErr w:type="spellEnd"/>
      <w:r w:rsidR="00326F2A">
        <w:rPr>
          <w:rFonts w:ascii="Arial" w:hAnsi="Arial" w:cs="Arial"/>
        </w:rPr>
        <w:t>,</w:t>
      </w:r>
      <w:r w:rsidRPr="000836C9">
        <w:rPr>
          <w:rFonts w:ascii="Arial" w:hAnsi="Arial" w:cs="Arial"/>
        </w:rPr>
        <w:t xml:space="preserve"> skierował</w:t>
      </w:r>
      <w:r w:rsidR="00326F2A">
        <w:rPr>
          <w:rFonts w:ascii="Arial" w:hAnsi="Arial" w:cs="Arial"/>
        </w:rPr>
        <w:t>a</w:t>
      </w:r>
      <w:r w:rsidRPr="000836C9">
        <w:rPr>
          <w:rFonts w:ascii="Arial" w:hAnsi="Arial" w:cs="Arial"/>
        </w:rPr>
        <w:t xml:space="preserve"> do obu w/w organów projekt dokumentu „</w:t>
      </w:r>
      <w:r w:rsidR="00326F2A">
        <w:rPr>
          <w:rFonts w:ascii="Arial" w:hAnsi="Arial" w:cs="Arial"/>
        </w:rPr>
        <w:t xml:space="preserve">Ponadlokalny program rewitalizacji sieci miast </w:t>
      </w:r>
      <w:proofErr w:type="spellStart"/>
      <w:r w:rsidR="00326F2A">
        <w:rPr>
          <w:rFonts w:ascii="Arial" w:hAnsi="Arial" w:cs="Arial"/>
        </w:rPr>
        <w:t>Cittaslow</w:t>
      </w:r>
      <w:proofErr w:type="spellEnd"/>
      <w:r w:rsidRPr="000836C9">
        <w:rPr>
          <w:rFonts w:ascii="Arial" w:hAnsi="Arial" w:cs="Arial"/>
        </w:rPr>
        <w:t xml:space="preserve">” wraz z Prognozą </w:t>
      </w:r>
      <w:r w:rsidR="00326F2A">
        <w:rPr>
          <w:rFonts w:ascii="Arial" w:hAnsi="Arial" w:cs="Arial"/>
        </w:rPr>
        <w:t>O</w:t>
      </w:r>
      <w:r w:rsidRPr="000836C9">
        <w:rPr>
          <w:rFonts w:ascii="Arial" w:hAnsi="Arial" w:cs="Arial"/>
        </w:rPr>
        <w:t xml:space="preserve">ddziaływania na </w:t>
      </w:r>
      <w:r w:rsidR="00326F2A">
        <w:rPr>
          <w:rFonts w:ascii="Arial" w:hAnsi="Arial" w:cs="Arial"/>
        </w:rPr>
        <w:t>Ś</w:t>
      </w:r>
      <w:r w:rsidRPr="000836C9">
        <w:rPr>
          <w:rFonts w:ascii="Arial" w:hAnsi="Arial" w:cs="Arial"/>
        </w:rPr>
        <w:t>rodowisko.</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Regionalny Dyrektor Ochrony Środowisk</w:t>
      </w:r>
      <w:bookmarkStart w:id="0" w:name="_GoBack"/>
      <w:bookmarkEnd w:id="0"/>
      <w:r w:rsidRPr="000836C9">
        <w:rPr>
          <w:rFonts w:ascii="Arial" w:hAnsi="Arial" w:cs="Arial"/>
        </w:rPr>
        <w:t xml:space="preserve">a w Olsztynie pismem z dnia </w:t>
      </w:r>
      <w:r w:rsidR="003D196D" w:rsidRPr="000836C9">
        <w:rPr>
          <w:rFonts w:ascii="Arial" w:hAnsi="Arial" w:cs="Arial"/>
        </w:rPr>
        <w:t>2</w:t>
      </w:r>
      <w:r w:rsidR="00326F2A">
        <w:rPr>
          <w:rFonts w:ascii="Arial" w:hAnsi="Arial" w:cs="Arial"/>
        </w:rPr>
        <w:t>3</w:t>
      </w:r>
      <w:r w:rsidR="00656A58">
        <w:rPr>
          <w:rFonts w:ascii="Arial" w:hAnsi="Arial" w:cs="Arial"/>
        </w:rPr>
        <w:t xml:space="preserve"> czerwca </w:t>
      </w:r>
      <w:r w:rsidR="003D196D" w:rsidRPr="000836C9">
        <w:rPr>
          <w:rFonts w:ascii="Arial" w:hAnsi="Arial" w:cs="Arial"/>
        </w:rPr>
        <w:t>201</w:t>
      </w:r>
      <w:r w:rsidR="00326F2A">
        <w:rPr>
          <w:rFonts w:ascii="Arial" w:hAnsi="Arial" w:cs="Arial"/>
        </w:rPr>
        <w:t>5</w:t>
      </w:r>
      <w:r w:rsidRPr="000836C9">
        <w:rPr>
          <w:rFonts w:ascii="Arial" w:hAnsi="Arial" w:cs="Arial"/>
        </w:rPr>
        <w:t xml:space="preserve"> roku</w:t>
      </w:r>
      <w:r w:rsidR="003D196D" w:rsidRPr="000836C9">
        <w:rPr>
          <w:rFonts w:ascii="Arial" w:hAnsi="Arial" w:cs="Arial"/>
        </w:rPr>
        <w:t xml:space="preserve"> (znak </w:t>
      </w:r>
      <w:r w:rsidR="00326F2A">
        <w:rPr>
          <w:rFonts w:ascii="Arial" w:hAnsi="Arial" w:cs="Arial"/>
        </w:rPr>
        <w:t>WOOŚ.410.50.2015.MT</w:t>
      </w:r>
      <w:r w:rsidRPr="000836C9">
        <w:rPr>
          <w:rFonts w:ascii="Arial" w:hAnsi="Arial" w:cs="Arial"/>
        </w:rPr>
        <w:t>) zaopiniował pozytywnie przedstawione dokumenty, nie wnosząc żadnych uwag.</w:t>
      </w:r>
    </w:p>
    <w:p w:rsidR="00930611" w:rsidRPr="000836C9" w:rsidRDefault="00930611" w:rsidP="004A05B0">
      <w:pPr>
        <w:autoSpaceDE w:val="0"/>
        <w:autoSpaceDN w:val="0"/>
        <w:adjustRightInd w:val="0"/>
        <w:jc w:val="both"/>
        <w:rPr>
          <w:rFonts w:ascii="Arial" w:hAnsi="Arial" w:cs="Arial"/>
        </w:rPr>
      </w:pPr>
      <w:r w:rsidRPr="000836C9">
        <w:rPr>
          <w:rFonts w:ascii="Arial" w:hAnsi="Arial" w:cs="Arial"/>
        </w:rPr>
        <w:t xml:space="preserve">Państwowy Wojewódzki Inspektor Sanitarny w Olsztynie opinią sanitarną z dnia </w:t>
      </w:r>
      <w:r w:rsidR="003D196D" w:rsidRPr="000836C9">
        <w:rPr>
          <w:rFonts w:ascii="Arial" w:hAnsi="Arial" w:cs="Arial"/>
        </w:rPr>
        <w:t>2</w:t>
      </w:r>
      <w:r w:rsidR="00656A58">
        <w:rPr>
          <w:rFonts w:ascii="Arial" w:hAnsi="Arial" w:cs="Arial"/>
        </w:rPr>
        <w:t xml:space="preserve">2 czerwca </w:t>
      </w:r>
      <w:r w:rsidR="00326F2A">
        <w:rPr>
          <w:rFonts w:ascii="Arial" w:hAnsi="Arial" w:cs="Arial"/>
        </w:rPr>
        <w:t>2015</w:t>
      </w:r>
      <w:r w:rsidRPr="000836C9">
        <w:rPr>
          <w:rFonts w:ascii="Arial" w:hAnsi="Arial" w:cs="Arial"/>
          <w:b/>
          <w:bCs/>
        </w:rPr>
        <w:t xml:space="preserve"> </w:t>
      </w:r>
      <w:r w:rsidRPr="000836C9">
        <w:rPr>
          <w:rFonts w:ascii="Arial" w:hAnsi="Arial" w:cs="Arial"/>
        </w:rPr>
        <w:t xml:space="preserve">roku (znak </w:t>
      </w:r>
      <w:r w:rsidR="00326F2A">
        <w:rPr>
          <w:rFonts w:ascii="Arial" w:hAnsi="Arial" w:cs="Arial"/>
        </w:rPr>
        <w:t>ZNS.9082.2.52.2015.AZ</w:t>
      </w:r>
      <w:r w:rsidRPr="000836C9">
        <w:rPr>
          <w:rFonts w:ascii="Arial" w:hAnsi="Arial" w:cs="Arial"/>
        </w:rPr>
        <w:t>) pozytywnie zaopiniował przedstawione dokumenty, nie wnosząc żadnych uwag.</w:t>
      </w:r>
    </w:p>
    <w:p w:rsidR="009C329D" w:rsidRPr="000836C9" w:rsidRDefault="009C329D" w:rsidP="004A05B0">
      <w:pPr>
        <w:autoSpaceDE w:val="0"/>
        <w:autoSpaceDN w:val="0"/>
        <w:adjustRightInd w:val="0"/>
        <w:jc w:val="both"/>
        <w:rPr>
          <w:rFonts w:ascii="Arial" w:hAnsi="Arial" w:cs="Arial"/>
        </w:rPr>
      </w:pPr>
    </w:p>
    <w:p w:rsidR="009C329D" w:rsidRPr="000836C9" w:rsidRDefault="009C329D" w:rsidP="004A05B0">
      <w:pPr>
        <w:autoSpaceDE w:val="0"/>
        <w:autoSpaceDN w:val="0"/>
        <w:adjustRightInd w:val="0"/>
        <w:jc w:val="both"/>
        <w:rPr>
          <w:rFonts w:ascii="Arial" w:hAnsi="Arial" w:cs="Arial"/>
          <w:b/>
          <w:bCs/>
        </w:rPr>
      </w:pPr>
      <w:r w:rsidRPr="000836C9">
        <w:rPr>
          <w:rFonts w:ascii="Arial" w:hAnsi="Arial" w:cs="Arial"/>
          <w:b/>
          <w:bCs/>
        </w:rPr>
        <w:t>3. ZGŁOSZONE UWAGI I WNIOSKI</w:t>
      </w:r>
    </w:p>
    <w:p w:rsidR="009C329D" w:rsidRPr="000836C9" w:rsidRDefault="00326F2A" w:rsidP="004A05B0">
      <w:pPr>
        <w:tabs>
          <w:tab w:val="left" w:pos="2100"/>
        </w:tabs>
        <w:autoSpaceDE w:val="0"/>
        <w:autoSpaceDN w:val="0"/>
        <w:adjustRightInd w:val="0"/>
        <w:jc w:val="both"/>
        <w:rPr>
          <w:rFonts w:ascii="Arial" w:hAnsi="Arial" w:cs="Arial"/>
        </w:rPr>
      </w:pPr>
      <w:r>
        <w:rPr>
          <w:rFonts w:ascii="Arial" w:hAnsi="Arial" w:cs="Arial"/>
        </w:rPr>
        <w:t xml:space="preserve">Społeczeństwo miast należących do Stowarzyszenia </w:t>
      </w:r>
      <w:r w:rsidR="00263AA6">
        <w:rPr>
          <w:rFonts w:ascii="Arial" w:hAnsi="Arial" w:cs="Arial"/>
        </w:rPr>
        <w:t xml:space="preserve">Polskie </w:t>
      </w:r>
      <w:r>
        <w:rPr>
          <w:rFonts w:ascii="Arial" w:hAnsi="Arial" w:cs="Arial"/>
        </w:rPr>
        <w:t>Miast</w:t>
      </w:r>
      <w:r w:rsidR="00263AA6">
        <w:rPr>
          <w:rFonts w:ascii="Arial" w:hAnsi="Arial" w:cs="Arial"/>
        </w:rPr>
        <w:t>a</w:t>
      </w:r>
      <w:r>
        <w:rPr>
          <w:rFonts w:ascii="Arial" w:hAnsi="Arial" w:cs="Arial"/>
        </w:rPr>
        <w:t xml:space="preserve"> </w:t>
      </w:r>
      <w:proofErr w:type="spellStart"/>
      <w:r>
        <w:rPr>
          <w:rFonts w:ascii="Arial" w:hAnsi="Arial" w:cs="Arial"/>
        </w:rPr>
        <w:t>Cittaslow</w:t>
      </w:r>
      <w:proofErr w:type="spellEnd"/>
      <w:r w:rsidR="009C329D" w:rsidRPr="000836C9">
        <w:rPr>
          <w:rFonts w:ascii="Arial" w:hAnsi="Arial" w:cs="Arial"/>
        </w:rPr>
        <w:t xml:space="preserve"> uzyskał</w:t>
      </w:r>
      <w:r>
        <w:rPr>
          <w:rFonts w:ascii="Arial" w:hAnsi="Arial" w:cs="Arial"/>
        </w:rPr>
        <w:t>o</w:t>
      </w:r>
      <w:r w:rsidR="009C329D" w:rsidRPr="000836C9">
        <w:rPr>
          <w:rFonts w:ascii="Arial" w:hAnsi="Arial" w:cs="Arial"/>
        </w:rPr>
        <w:t xml:space="preserve"> możliwość zapoznania się z dokumentami: </w:t>
      </w:r>
      <w:r w:rsidRPr="00656A58">
        <w:rPr>
          <w:rFonts w:ascii="Arial" w:hAnsi="Arial" w:cs="Arial"/>
          <w:i/>
        </w:rPr>
        <w:t xml:space="preserve">Ponadlokalnym programem rewitalizacji sieci miast </w:t>
      </w:r>
      <w:proofErr w:type="spellStart"/>
      <w:r w:rsidRPr="00656A58">
        <w:rPr>
          <w:rFonts w:ascii="Arial" w:hAnsi="Arial" w:cs="Arial"/>
          <w:i/>
        </w:rPr>
        <w:t>Cittaslow</w:t>
      </w:r>
      <w:proofErr w:type="spellEnd"/>
      <w:r w:rsidR="009C329D" w:rsidRPr="000836C9">
        <w:rPr>
          <w:rFonts w:ascii="Arial" w:hAnsi="Arial" w:cs="Arial"/>
        </w:rPr>
        <w:t xml:space="preserve"> oraz </w:t>
      </w:r>
      <w:r w:rsidR="009C329D" w:rsidRPr="00656A58">
        <w:rPr>
          <w:rFonts w:ascii="Arial" w:hAnsi="Arial" w:cs="Arial"/>
          <w:i/>
        </w:rPr>
        <w:t xml:space="preserve">Prognozą oddziaływania na środowisko dla </w:t>
      </w:r>
      <w:r w:rsidRPr="00656A58">
        <w:rPr>
          <w:rFonts w:ascii="Arial" w:hAnsi="Arial" w:cs="Arial"/>
          <w:i/>
        </w:rPr>
        <w:t xml:space="preserve">Ponadlokalnego programu rewitalizacji sieci miast </w:t>
      </w:r>
      <w:proofErr w:type="spellStart"/>
      <w:r w:rsidRPr="00656A58">
        <w:rPr>
          <w:rFonts w:ascii="Arial" w:hAnsi="Arial" w:cs="Arial"/>
          <w:i/>
        </w:rPr>
        <w:t>Cittaslow</w:t>
      </w:r>
      <w:proofErr w:type="spellEnd"/>
      <w:r w:rsidR="009C329D" w:rsidRPr="000836C9">
        <w:rPr>
          <w:rFonts w:ascii="Arial" w:hAnsi="Arial" w:cs="Arial"/>
        </w:rPr>
        <w:t xml:space="preserve">. W tej sprawie na stronie </w:t>
      </w:r>
      <w:hyperlink r:id="rId6" w:history="1">
        <w:r>
          <w:rPr>
            <w:rStyle w:val="Hipercze"/>
            <w:rFonts w:ascii="Arial" w:hAnsi="Arial" w:cs="Arial"/>
            <w:color w:val="auto"/>
          </w:rPr>
          <w:t>www.wmarr.olsztyn.pl</w:t>
        </w:r>
      </w:hyperlink>
      <w:r w:rsidR="00271389" w:rsidRPr="000836C9">
        <w:rPr>
          <w:rFonts w:ascii="Arial" w:hAnsi="Arial" w:cs="Arial"/>
        </w:rPr>
        <w:t xml:space="preserve"> oraz tablicy ogłoszeń w </w:t>
      </w:r>
      <w:r>
        <w:rPr>
          <w:rFonts w:ascii="Arial" w:hAnsi="Arial" w:cs="Arial"/>
        </w:rPr>
        <w:t>siedzibie Warmińsko-Mazurskiej Agencji Rozwoju Regionalnego S.A. w Olsztynie</w:t>
      </w:r>
      <w:r w:rsidR="009C329D" w:rsidRPr="000836C9">
        <w:rPr>
          <w:rFonts w:ascii="Arial" w:hAnsi="Arial" w:cs="Arial"/>
        </w:rPr>
        <w:t xml:space="preserve"> zostało zamieszczone następujące zawiadomienie:</w:t>
      </w:r>
    </w:p>
    <w:p w:rsidR="00271389" w:rsidRDefault="00271389" w:rsidP="004A05B0">
      <w:pPr>
        <w:tabs>
          <w:tab w:val="left" w:pos="2100"/>
        </w:tabs>
        <w:autoSpaceDE w:val="0"/>
        <w:autoSpaceDN w:val="0"/>
        <w:adjustRightInd w:val="0"/>
        <w:jc w:val="both"/>
        <w:rPr>
          <w:rFonts w:ascii="Arial" w:hAnsi="Arial" w:cs="Arial"/>
        </w:rPr>
      </w:pPr>
    </w:p>
    <w:p w:rsidR="00007945" w:rsidRDefault="00007945" w:rsidP="004A05B0">
      <w:pPr>
        <w:tabs>
          <w:tab w:val="left" w:pos="2100"/>
        </w:tabs>
        <w:autoSpaceDE w:val="0"/>
        <w:autoSpaceDN w:val="0"/>
        <w:adjustRightInd w:val="0"/>
        <w:jc w:val="both"/>
        <w:rPr>
          <w:rFonts w:ascii="Arial" w:hAnsi="Arial" w:cs="Arial"/>
        </w:rPr>
      </w:pPr>
    </w:p>
    <w:p w:rsidR="00007945" w:rsidRDefault="00007945" w:rsidP="004A05B0">
      <w:pPr>
        <w:tabs>
          <w:tab w:val="left" w:pos="2100"/>
        </w:tabs>
        <w:autoSpaceDE w:val="0"/>
        <w:autoSpaceDN w:val="0"/>
        <w:adjustRightInd w:val="0"/>
        <w:jc w:val="both"/>
        <w:rPr>
          <w:rFonts w:ascii="Arial" w:hAnsi="Arial" w:cs="Arial"/>
        </w:rPr>
      </w:pPr>
    </w:p>
    <w:p w:rsidR="00007945" w:rsidRPr="000836C9" w:rsidRDefault="00007945" w:rsidP="004A05B0">
      <w:pPr>
        <w:tabs>
          <w:tab w:val="left" w:pos="2100"/>
        </w:tabs>
        <w:autoSpaceDE w:val="0"/>
        <w:autoSpaceDN w:val="0"/>
        <w:adjustRightInd w:val="0"/>
        <w:jc w:val="both"/>
        <w:rPr>
          <w:rFonts w:ascii="Arial" w:hAnsi="Arial" w:cs="Arial"/>
        </w:rPr>
      </w:pPr>
    </w:p>
    <w:p w:rsidR="004A05B0" w:rsidRPr="000836C9" w:rsidRDefault="004A05B0" w:rsidP="004A05B0">
      <w:pPr>
        <w:tabs>
          <w:tab w:val="left" w:pos="2100"/>
        </w:tabs>
        <w:autoSpaceDE w:val="0"/>
        <w:autoSpaceDN w:val="0"/>
        <w:adjustRightInd w:val="0"/>
        <w:jc w:val="both"/>
        <w:rPr>
          <w:rFonts w:ascii="Arial" w:hAnsi="Arial" w:cs="Arial"/>
        </w:rPr>
      </w:pPr>
    </w:p>
    <w:p w:rsidR="00271389" w:rsidRPr="000836C9" w:rsidRDefault="00007945" w:rsidP="009C329D">
      <w:pPr>
        <w:tabs>
          <w:tab w:val="left" w:pos="2100"/>
        </w:tabs>
        <w:autoSpaceDE w:val="0"/>
        <w:autoSpaceDN w:val="0"/>
        <w:adjustRightInd w:val="0"/>
        <w:jc w:val="both"/>
        <w:rPr>
          <w:rFonts w:ascii="Arial" w:hAnsi="Arial" w:cs="Arial"/>
        </w:rPr>
      </w:pPr>
      <w:r w:rsidRPr="000836C9">
        <w:rPr>
          <w:rFonts w:ascii="Arial" w:hAnsi="Arial" w:cs="Arial"/>
          <w:noProof/>
          <w:lang w:eastAsia="pl-PL"/>
        </w:rPr>
        <w:lastRenderedPageBreak/>
        <mc:AlternateContent>
          <mc:Choice Requires="wps">
            <w:drawing>
              <wp:anchor distT="0" distB="0" distL="114300" distR="114300" simplePos="0" relativeHeight="251659264" behindDoc="0" locked="0" layoutInCell="1" allowOverlap="1" wp14:anchorId="1CFA7971" wp14:editId="5011AFF4">
                <wp:simplePos x="0" y="0"/>
                <wp:positionH relativeFrom="column">
                  <wp:posOffset>-80644</wp:posOffset>
                </wp:positionH>
                <wp:positionV relativeFrom="paragraph">
                  <wp:posOffset>-99694</wp:posOffset>
                </wp:positionV>
                <wp:extent cx="5829300" cy="169545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5829300" cy="1695450"/>
                        </a:xfrm>
                        <a:prstGeom prst="rect">
                          <a:avLst/>
                        </a:prstGeom>
                        <a:ln/>
                      </wps:spPr>
                      <wps:style>
                        <a:lnRef idx="2">
                          <a:schemeClr val="dk1"/>
                        </a:lnRef>
                        <a:fillRef idx="1">
                          <a:schemeClr val="lt1"/>
                        </a:fillRef>
                        <a:effectRef idx="0">
                          <a:schemeClr val="dk1"/>
                        </a:effectRef>
                        <a:fontRef idx="minor">
                          <a:schemeClr val="dk1"/>
                        </a:fontRef>
                      </wps:style>
                      <wps:txbx>
                        <w:txbxContent>
                          <w:p w:rsidR="00271389" w:rsidRPr="00007945" w:rsidRDefault="00007945" w:rsidP="00007945">
                            <w:pPr>
                              <w:jc w:val="both"/>
                              <w:rPr>
                                <w:rFonts w:ascii="Arial" w:hAnsi="Arial" w:cs="Arial"/>
                                <w:sz w:val="28"/>
                              </w:rPr>
                            </w:pPr>
                            <w:r w:rsidRPr="00007945">
                              <w:rPr>
                                <w:rFonts w:ascii="Arial" w:hAnsi="Arial" w:cs="Arial"/>
                                <w:color w:val="333333"/>
                                <w:szCs w:val="18"/>
                                <w:shd w:val="clear" w:color="auto" w:fill="FFFFFF"/>
                              </w:rPr>
                              <w:t xml:space="preserve">Warmińsko – Mazurska Agencja Rozwoju Regionalnego SA w Olsztynie w imieniu gmin Barczewo, Biskupiec, Bisztynek, Dobre Miasto, Gołdap, Górowo Iławeckie, Lidzbark Warmiński, Lubawa, Nidzica, Nowe Miasto Lubawskie, Olsztynek, Pasym , Reszel i Ryn oraz stowarzyszenia sieci miast </w:t>
                            </w:r>
                            <w:proofErr w:type="spellStart"/>
                            <w:r w:rsidRPr="00007945">
                              <w:rPr>
                                <w:rFonts w:ascii="Arial" w:hAnsi="Arial" w:cs="Arial"/>
                                <w:color w:val="333333"/>
                                <w:szCs w:val="18"/>
                                <w:shd w:val="clear" w:color="auto" w:fill="FFFFFF"/>
                              </w:rPr>
                              <w:t>Cittslow</w:t>
                            </w:r>
                            <w:proofErr w:type="spellEnd"/>
                            <w:r w:rsidRPr="00007945">
                              <w:rPr>
                                <w:rFonts w:ascii="Arial" w:hAnsi="Arial" w:cs="Arial"/>
                                <w:color w:val="333333"/>
                                <w:szCs w:val="18"/>
                                <w:shd w:val="clear" w:color="auto" w:fill="FFFFFF"/>
                              </w:rPr>
                              <w:t xml:space="preserve"> przystępuje do konsultacji społecznych związanych z procedurą strategicznej oceny ·oddziaływania na środowisko projektu dokumentu Ponadlokalny Program Rewitalizacji Miast Sieci </w:t>
                            </w:r>
                            <w:proofErr w:type="spellStart"/>
                            <w:r w:rsidRPr="00007945">
                              <w:rPr>
                                <w:rFonts w:ascii="Arial" w:hAnsi="Arial" w:cs="Arial"/>
                                <w:color w:val="333333"/>
                                <w:szCs w:val="18"/>
                                <w:shd w:val="clear" w:color="auto" w:fill="FFFFFF"/>
                              </w:rPr>
                              <w:t>Cittaslow</w:t>
                            </w:r>
                            <w:proofErr w:type="spellEnd"/>
                            <w:r w:rsidRPr="00007945">
                              <w:rPr>
                                <w:rFonts w:ascii="Arial" w:hAnsi="Arial" w:cs="Arial"/>
                                <w:color w:val="333333"/>
                                <w:szCs w:val="18"/>
                                <w:shd w:val="clear" w:color="auto" w:fill="FFFFFF"/>
                              </w:rPr>
                              <w:t xml:space="preserve">. Uwagi do dokumentu "Prognoza działania na środowisko" można wnosić drogą elektroniczną bądź w sposób tradycyjny do 29 czerwca 2015, szczegóły w obwieszczeniu.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A7971" id="Prostokąt 2" o:spid="_x0000_s1026" style="position:absolute;left:0;text-align:left;margin-left:-6.35pt;margin-top:-7.85pt;width:45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" fillcolor="white [3201]" strokecolor="black [3200]" strokeweight="2pt">
                <v:textbox>
                  <w:txbxContent>
                    <w:p w:rsidR="00271389" w:rsidRPr="00007945" w:rsidRDefault="00007945" w:rsidP="00007945">
                      <w:pPr>
                        <w:jc w:val="both"/>
                        <w:rPr>
                          <w:rFonts w:ascii="Arial" w:hAnsi="Arial" w:cs="Arial"/>
                          <w:sz w:val="28"/>
                        </w:rPr>
                      </w:pPr>
                      <w:r w:rsidRPr="00007945">
                        <w:rPr>
                          <w:rFonts w:ascii="Arial" w:hAnsi="Arial" w:cs="Arial"/>
                          <w:color w:val="333333"/>
                          <w:szCs w:val="18"/>
                          <w:shd w:val="clear" w:color="auto" w:fill="FFFFFF"/>
                        </w:rPr>
                        <w:t xml:space="preserve">Warmińsko – Mazurska Agencja Rozwoju Regionalnego SA w Olsztynie w imieniu gmin Barczewo, Biskupiec, Bisztynek, Dobre Miasto, Gołdap, Górowo Iławeckie, Lidzbark Warmiński, Lubawa, Nidzica, Nowe Miasto Lubawskie, Olsztynek, Pasym , Reszel i Ryn oraz stowarzyszenia sieci miast </w:t>
                      </w:r>
                      <w:proofErr w:type="spellStart"/>
                      <w:r w:rsidRPr="00007945">
                        <w:rPr>
                          <w:rFonts w:ascii="Arial" w:hAnsi="Arial" w:cs="Arial"/>
                          <w:color w:val="333333"/>
                          <w:szCs w:val="18"/>
                          <w:shd w:val="clear" w:color="auto" w:fill="FFFFFF"/>
                        </w:rPr>
                        <w:t>Cittslow</w:t>
                      </w:r>
                      <w:proofErr w:type="spellEnd"/>
                      <w:r w:rsidRPr="00007945">
                        <w:rPr>
                          <w:rFonts w:ascii="Arial" w:hAnsi="Arial" w:cs="Arial"/>
                          <w:color w:val="333333"/>
                          <w:szCs w:val="18"/>
                          <w:shd w:val="clear" w:color="auto" w:fill="FFFFFF"/>
                        </w:rPr>
                        <w:t xml:space="preserve"> przystępuje do konsultacji społecznych związanych z procedurą strategicznej oceny ·oddziaływania na środowisko projektu dokumentu Ponadlokalny Program Rewitalizacji Miast Sieci </w:t>
                      </w:r>
                      <w:proofErr w:type="spellStart"/>
                      <w:r w:rsidRPr="00007945">
                        <w:rPr>
                          <w:rFonts w:ascii="Arial" w:hAnsi="Arial" w:cs="Arial"/>
                          <w:color w:val="333333"/>
                          <w:szCs w:val="18"/>
                          <w:shd w:val="clear" w:color="auto" w:fill="FFFFFF"/>
                        </w:rPr>
                        <w:t>Cittaslow</w:t>
                      </w:r>
                      <w:proofErr w:type="spellEnd"/>
                      <w:r w:rsidRPr="00007945">
                        <w:rPr>
                          <w:rFonts w:ascii="Arial" w:hAnsi="Arial" w:cs="Arial"/>
                          <w:color w:val="333333"/>
                          <w:szCs w:val="18"/>
                          <w:shd w:val="clear" w:color="auto" w:fill="FFFFFF"/>
                        </w:rPr>
                        <w:t>. Uwagi do dokumentu "Prognoza działania na środowisko" można wnosić drogą elektroniczną bądź w sposób tradycyjny do 29 czerwca 2015, szczegóły w ob</w:t>
                      </w:r>
                      <w:bookmarkStart w:id="1" w:name="_GoBack"/>
                      <w:bookmarkEnd w:id="1"/>
                      <w:r w:rsidRPr="00007945">
                        <w:rPr>
                          <w:rFonts w:ascii="Arial" w:hAnsi="Arial" w:cs="Arial"/>
                          <w:color w:val="333333"/>
                          <w:szCs w:val="18"/>
                          <w:shd w:val="clear" w:color="auto" w:fill="FFFFFF"/>
                        </w:rPr>
                        <w:t xml:space="preserve">wieszczeniu. </w:t>
                      </w:r>
                    </w:p>
                  </w:txbxContent>
                </v:textbox>
              </v:rect>
            </w:pict>
          </mc:Fallback>
        </mc:AlternateContent>
      </w:r>
    </w:p>
    <w:p w:rsidR="00271389" w:rsidRPr="000836C9" w:rsidRDefault="00271389" w:rsidP="00271389">
      <w:pPr>
        <w:tabs>
          <w:tab w:val="left" w:pos="2100"/>
        </w:tabs>
        <w:autoSpaceDE w:val="0"/>
        <w:autoSpaceDN w:val="0"/>
        <w:adjustRightInd w:val="0"/>
        <w:rPr>
          <w:rFonts w:ascii="Arial" w:hAnsi="Arial" w:cs="Arial"/>
        </w:rPr>
      </w:pPr>
    </w:p>
    <w:p w:rsidR="00271389" w:rsidRPr="000836C9" w:rsidRDefault="00271389" w:rsidP="009C329D">
      <w:pPr>
        <w:tabs>
          <w:tab w:val="left" w:pos="2100"/>
        </w:tabs>
        <w:autoSpaceDE w:val="0"/>
        <w:autoSpaceDN w:val="0"/>
        <w:adjustRightInd w:val="0"/>
        <w:jc w:val="both"/>
        <w:rPr>
          <w:rFonts w:ascii="Arial" w:hAnsi="Arial" w:cs="Arial"/>
        </w:rPr>
      </w:pPr>
    </w:p>
    <w:p w:rsidR="00271389" w:rsidRPr="000836C9" w:rsidRDefault="00271389" w:rsidP="009C329D">
      <w:pPr>
        <w:tabs>
          <w:tab w:val="left" w:pos="2100"/>
        </w:tabs>
        <w:autoSpaceDE w:val="0"/>
        <w:autoSpaceDN w:val="0"/>
        <w:adjustRightInd w:val="0"/>
        <w:jc w:val="both"/>
        <w:rPr>
          <w:rFonts w:ascii="Arial" w:hAnsi="Arial" w:cs="Arial"/>
        </w:rPr>
      </w:pPr>
    </w:p>
    <w:p w:rsidR="00271389" w:rsidRPr="000836C9" w:rsidRDefault="00271389" w:rsidP="009C329D">
      <w:pPr>
        <w:tabs>
          <w:tab w:val="left" w:pos="2100"/>
        </w:tabs>
        <w:autoSpaceDE w:val="0"/>
        <w:autoSpaceDN w:val="0"/>
        <w:adjustRightInd w:val="0"/>
        <w:jc w:val="both"/>
        <w:rPr>
          <w:rFonts w:ascii="Arial" w:hAnsi="Arial" w:cs="Arial"/>
        </w:rPr>
      </w:pPr>
    </w:p>
    <w:p w:rsidR="00F234D6" w:rsidRPr="00007945" w:rsidRDefault="00F234D6" w:rsidP="00007945">
      <w:pPr>
        <w:jc w:val="both"/>
        <w:rPr>
          <w:rFonts w:ascii="Arial" w:hAnsi="Arial" w:cs="Arial"/>
        </w:rPr>
      </w:pPr>
    </w:p>
    <w:p w:rsidR="00F234D6" w:rsidRPr="00007945" w:rsidRDefault="00007945" w:rsidP="00007945">
      <w:pPr>
        <w:jc w:val="both"/>
        <w:rPr>
          <w:rFonts w:ascii="Arial" w:hAnsi="Arial" w:cs="Arial"/>
        </w:rPr>
      </w:pPr>
      <w:r w:rsidRPr="00007945">
        <w:rPr>
          <w:rFonts w:ascii="Arial" w:hAnsi="Arial" w:cs="Arial"/>
        </w:rPr>
        <w:t>Projekt dokumentu wraz prognozą był również wyłożony do konsultacji oraz upubliczniony na stronach internetowych Biuletynów Informacji Publicznej wszystkich gmin realizujących Program, tj. Barczewo, Biskupiec, Bisztynek, Dobre Miasto, Gołdap, Górowo Iławeckie, Lidzbark Warmiński, Lubawa, Nidzica, Nowe Miasto Lubaws</w:t>
      </w:r>
      <w:r>
        <w:rPr>
          <w:rFonts w:ascii="Arial" w:hAnsi="Arial" w:cs="Arial"/>
        </w:rPr>
        <w:t>kie, Olsztynek, Pasym, Reszel i </w:t>
      </w:r>
      <w:r w:rsidRPr="00007945">
        <w:rPr>
          <w:rFonts w:ascii="Arial" w:hAnsi="Arial" w:cs="Arial"/>
        </w:rPr>
        <w:t>Ryn.</w:t>
      </w:r>
    </w:p>
    <w:p w:rsidR="00007945" w:rsidRDefault="00007945" w:rsidP="00007945">
      <w:pPr>
        <w:jc w:val="both"/>
        <w:rPr>
          <w:rFonts w:ascii="Arial" w:hAnsi="Arial" w:cs="Arial"/>
        </w:rPr>
      </w:pPr>
      <w:r w:rsidRPr="00007945">
        <w:rPr>
          <w:rFonts w:ascii="Arial" w:hAnsi="Arial" w:cs="Arial"/>
        </w:rPr>
        <w:t>Uwagi i wnioski można było składać</w:t>
      </w:r>
      <w:r>
        <w:rPr>
          <w:rFonts w:ascii="Arial" w:hAnsi="Arial" w:cs="Arial"/>
        </w:rPr>
        <w:t xml:space="preserve"> na Formularzu konsultacji OOŚ</w:t>
      </w:r>
      <w:r w:rsidRPr="00007945">
        <w:rPr>
          <w:rFonts w:ascii="Arial" w:hAnsi="Arial" w:cs="Arial"/>
        </w:rPr>
        <w:t xml:space="preserve"> w ciągu 21 dni od daty ogłoszenia, tj. do</w:t>
      </w:r>
      <w:r>
        <w:rPr>
          <w:rFonts w:ascii="Arial" w:hAnsi="Arial" w:cs="Arial"/>
        </w:rPr>
        <w:t xml:space="preserve"> dnia 29.06.2015</w:t>
      </w:r>
      <w:r w:rsidRPr="00007945">
        <w:rPr>
          <w:rFonts w:ascii="Arial" w:hAnsi="Arial" w:cs="Arial"/>
        </w:rPr>
        <w:t>r.</w:t>
      </w:r>
    </w:p>
    <w:p w:rsidR="00414E2E" w:rsidRDefault="00414E2E" w:rsidP="00007945">
      <w:pPr>
        <w:jc w:val="both"/>
        <w:rPr>
          <w:rFonts w:ascii="Arial" w:hAnsi="Arial" w:cs="Arial"/>
        </w:rPr>
      </w:pPr>
      <w:r>
        <w:rPr>
          <w:rFonts w:ascii="Arial" w:hAnsi="Arial" w:cs="Arial"/>
        </w:rPr>
        <w:t>Organem właściwym do rozpatrzenia uwag i wniosków była Warmińsko-Mazurska Agencja Rozwoju Regionalnego S.A. w Olsztynie</w:t>
      </w:r>
      <w:r w:rsidR="001C39A3">
        <w:rPr>
          <w:rFonts w:ascii="Arial" w:hAnsi="Arial" w:cs="Arial"/>
        </w:rPr>
        <w:t xml:space="preserve"> działając w imieniu gmin: </w:t>
      </w:r>
      <w:r w:rsidR="001C39A3" w:rsidRPr="001C39A3">
        <w:rPr>
          <w:rFonts w:ascii="Arial" w:hAnsi="Arial" w:cs="Arial"/>
        </w:rPr>
        <w:t>Barczewo, Biskupiec, Bisztynek, Dobre Miasto, Gołdap, Górowo Iławeckie, Lidzbark Warmiński, Lubawa, Nidzica, Nowe Miasto Lubawskie, Olsztynek, Pasym, Reszel i Ryn</w:t>
      </w:r>
      <w:r w:rsidR="001C39A3">
        <w:rPr>
          <w:rFonts w:ascii="Arial" w:hAnsi="Arial" w:cs="Arial"/>
        </w:rPr>
        <w:t>.</w:t>
      </w:r>
    </w:p>
    <w:p w:rsidR="00007945" w:rsidRDefault="00007945" w:rsidP="00007945">
      <w:pPr>
        <w:jc w:val="both"/>
        <w:rPr>
          <w:rFonts w:ascii="Arial" w:hAnsi="Arial" w:cs="Arial"/>
        </w:rPr>
      </w:pPr>
      <w:r>
        <w:rPr>
          <w:rFonts w:ascii="Arial" w:hAnsi="Arial" w:cs="Arial"/>
        </w:rPr>
        <w:t>W wyznaczonym terminie nie wpłynęły żadne uwagi i wnioski</w:t>
      </w:r>
      <w:r w:rsidR="00D030CE">
        <w:rPr>
          <w:rFonts w:ascii="Arial" w:hAnsi="Arial" w:cs="Arial"/>
        </w:rPr>
        <w:t xml:space="preserve"> </w:t>
      </w:r>
      <w:r w:rsidR="00D030CE" w:rsidRPr="000836C9">
        <w:rPr>
          <w:rFonts w:ascii="Arial" w:hAnsi="Arial" w:cs="Arial"/>
        </w:rPr>
        <w:t>w przedmiotowej sprawie</w:t>
      </w:r>
      <w:r>
        <w:rPr>
          <w:rFonts w:ascii="Arial" w:hAnsi="Arial" w:cs="Arial"/>
        </w:rPr>
        <w:t>.</w:t>
      </w:r>
    </w:p>
    <w:p w:rsidR="00C77D0E" w:rsidRPr="00007945" w:rsidRDefault="00C77D0E" w:rsidP="00007945">
      <w:pPr>
        <w:jc w:val="both"/>
        <w:rPr>
          <w:rFonts w:ascii="Arial" w:hAnsi="Arial" w:cs="Arial"/>
        </w:rPr>
      </w:pPr>
    </w:p>
    <w:p w:rsidR="00501AB7" w:rsidRPr="00501AB7" w:rsidRDefault="00850B10" w:rsidP="00501AB7">
      <w:pPr>
        <w:spacing w:before="120" w:after="0"/>
        <w:jc w:val="both"/>
        <w:rPr>
          <w:rFonts w:ascii="Arial" w:hAnsi="Arial" w:cs="Arial"/>
          <w:sz w:val="2"/>
        </w:rPr>
      </w:pPr>
      <w:r w:rsidRPr="000836C9">
        <w:rPr>
          <w:rFonts w:ascii="Arial" w:hAnsi="Arial" w:cs="Arial"/>
          <w:b/>
        </w:rPr>
        <w:t>4 WYNIKI POSTĘPOWANIA DOTYCZĄCEGO TRANSGRANICZNEGO ODDZIAŁYWANIA NA ŚRODOWISKO, JEŹELI ZOSTAŁO PRZEPROWADZONE</w:t>
      </w:r>
      <w:r w:rsidRPr="000836C9">
        <w:rPr>
          <w:rFonts w:ascii="Arial" w:hAnsi="Arial" w:cs="Arial"/>
        </w:rPr>
        <w:cr/>
      </w:r>
    </w:p>
    <w:p w:rsidR="00850B10" w:rsidRPr="000836C9" w:rsidRDefault="00501AB7" w:rsidP="00501AB7">
      <w:pPr>
        <w:spacing w:before="120" w:after="0"/>
        <w:jc w:val="both"/>
        <w:rPr>
          <w:rFonts w:ascii="Arial" w:hAnsi="Arial" w:cs="Arial"/>
        </w:rPr>
      </w:pPr>
      <w:r w:rsidRPr="00501AB7">
        <w:rPr>
          <w:rFonts w:ascii="Arial" w:hAnsi="Arial" w:cs="Arial"/>
        </w:rPr>
        <w:t>Ze względu na charakter działań i ich lokalizację w obszarach administracyjnych miast, realizacja</w:t>
      </w:r>
      <w:r>
        <w:rPr>
          <w:rFonts w:ascii="Arial" w:hAnsi="Arial" w:cs="Arial"/>
        </w:rPr>
        <w:t xml:space="preserve"> </w:t>
      </w:r>
      <w:r w:rsidRPr="00501AB7">
        <w:rPr>
          <w:rFonts w:ascii="Arial" w:hAnsi="Arial" w:cs="Arial"/>
        </w:rPr>
        <w:t>celów i działań Programu będzie miała tylko lokalny wpływ i nie będzie miała oddziaływania</w:t>
      </w:r>
      <w:r>
        <w:rPr>
          <w:rFonts w:ascii="Arial" w:hAnsi="Arial" w:cs="Arial"/>
        </w:rPr>
        <w:t xml:space="preserve"> </w:t>
      </w:r>
      <w:r w:rsidRPr="00501AB7">
        <w:rPr>
          <w:rFonts w:ascii="Arial" w:hAnsi="Arial" w:cs="Arial"/>
        </w:rPr>
        <w:t>transgranicznego</w:t>
      </w:r>
      <w:r>
        <w:rPr>
          <w:rFonts w:ascii="Arial" w:hAnsi="Arial" w:cs="Arial"/>
        </w:rPr>
        <w:t>.</w:t>
      </w:r>
    </w:p>
    <w:p w:rsidR="004A05B0" w:rsidRPr="000836C9" w:rsidRDefault="004A05B0" w:rsidP="00850B10">
      <w:pPr>
        <w:jc w:val="both"/>
        <w:rPr>
          <w:rFonts w:ascii="Arial" w:hAnsi="Arial" w:cs="Arial"/>
        </w:rPr>
      </w:pPr>
    </w:p>
    <w:p w:rsidR="004A05B0" w:rsidRPr="000836C9" w:rsidRDefault="004A05B0" w:rsidP="00850B10">
      <w:pPr>
        <w:jc w:val="both"/>
        <w:rPr>
          <w:rFonts w:ascii="Arial" w:hAnsi="Arial" w:cs="Arial"/>
          <w:b/>
        </w:rPr>
      </w:pPr>
      <w:r w:rsidRPr="000836C9">
        <w:rPr>
          <w:rFonts w:ascii="Arial" w:hAnsi="Arial" w:cs="Arial"/>
          <w:b/>
        </w:rPr>
        <w:t>5 PROPOZYCJE DOTYCZĄCE METOD I CZĘSTOTLIWOŚCI PRZEPROWADZANIA MONITORINGU SKUTKÓW REALIZACJI POSTANOWIEŃ DOKUMENTU</w:t>
      </w:r>
    </w:p>
    <w:p w:rsidR="008F65C2" w:rsidRDefault="00734A0D" w:rsidP="00850B10">
      <w:pPr>
        <w:jc w:val="both"/>
        <w:rPr>
          <w:rFonts w:ascii="Arial" w:hAnsi="Arial" w:cs="Arial"/>
        </w:rPr>
      </w:pPr>
      <w:r w:rsidRPr="000836C9">
        <w:rPr>
          <w:rFonts w:ascii="Arial" w:hAnsi="Arial" w:cs="Arial"/>
        </w:rPr>
        <w:t xml:space="preserve">W Prognozie oddziaływania na środowisko wskazano, </w:t>
      </w:r>
      <w:r w:rsidR="00656A58">
        <w:rPr>
          <w:rFonts w:ascii="Arial" w:hAnsi="Arial" w:cs="Arial"/>
        </w:rPr>
        <w:t xml:space="preserve">że </w:t>
      </w:r>
      <w:r w:rsidR="008F65C2" w:rsidRPr="008F65C2">
        <w:rPr>
          <w:rFonts w:ascii="Arial" w:hAnsi="Arial" w:cs="Arial"/>
        </w:rPr>
        <w:t xml:space="preserve">Program będzie poddawany systematycznej, okresowej analizie i ocenie oraz w razie potrzeby aktualizowany w zakresie dostosowania go do zmieniających się uwarunkowań. </w:t>
      </w:r>
    </w:p>
    <w:p w:rsidR="008F65C2" w:rsidRDefault="008F65C2" w:rsidP="00850B10">
      <w:pPr>
        <w:jc w:val="both"/>
        <w:rPr>
          <w:rFonts w:ascii="Arial" w:hAnsi="Arial" w:cs="Arial"/>
        </w:rPr>
      </w:pPr>
      <w:r w:rsidRPr="008F65C2">
        <w:rPr>
          <w:rFonts w:ascii="Arial" w:hAnsi="Arial" w:cs="Arial"/>
        </w:rPr>
        <w:t>Monitorowanie jest procesem systematycznego zbierania, raportowania i interpretowania danych. Dostarcza informacji o postępie realizacji i efektywności wdrażania poszczególnych projektów oraz programów, jak i sposobie oraz prawidłowości wykorzystania udzielonej pomocy finansowej.</w:t>
      </w:r>
      <w:r w:rsidR="00734A0D" w:rsidRPr="000836C9">
        <w:rPr>
          <w:rFonts w:ascii="Arial" w:hAnsi="Arial" w:cs="Arial"/>
        </w:rPr>
        <w:t xml:space="preserve"> </w:t>
      </w:r>
    </w:p>
    <w:p w:rsidR="008F65C2" w:rsidRPr="008F65C2" w:rsidRDefault="008F65C2" w:rsidP="008F65C2">
      <w:pPr>
        <w:spacing w:after="0"/>
        <w:jc w:val="both"/>
        <w:rPr>
          <w:rFonts w:ascii="Arial" w:hAnsi="Arial" w:cs="Arial"/>
        </w:rPr>
      </w:pPr>
      <w:r w:rsidRPr="008F65C2">
        <w:rPr>
          <w:rFonts w:ascii="Arial" w:hAnsi="Arial" w:cs="Arial"/>
        </w:rPr>
        <w:t xml:space="preserve">Monitoring prowadzony będzie w zakresie rzeczowym i finansowym. Ten pierwszy będzie obejmował dane obrazujące postęp we wdrażaniu dokumentu oraz umożliwienie oceny jego wykonania w odniesieniu do ustalonych celów i będzie prowadzony w dwóch kategoriach: </w:t>
      </w:r>
    </w:p>
    <w:p w:rsidR="008F65C2" w:rsidRPr="008F65C2" w:rsidRDefault="008F65C2" w:rsidP="008F65C2">
      <w:pPr>
        <w:pStyle w:val="Akapitzlist"/>
        <w:numPr>
          <w:ilvl w:val="0"/>
          <w:numId w:val="3"/>
        </w:numPr>
        <w:jc w:val="both"/>
        <w:rPr>
          <w:rFonts w:ascii="Arial" w:hAnsi="Arial" w:cs="Arial"/>
        </w:rPr>
      </w:pPr>
      <w:r w:rsidRPr="008F65C2">
        <w:rPr>
          <w:rFonts w:ascii="Arial" w:hAnsi="Arial" w:cs="Arial"/>
        </w:rPr>
        <w:lastRenderedPageBreak/>
        <w:t xml:space="preserve">wskaźniki produktu, </w:t>
      </w:r>
    </w:p>
    <w:p w:rsidR="008F65C2" w:rsidRPr="008F65C2" w:rsidRDefault="008F65C2" w:rsidP="008F65C2">
      <w:pPr>
        <w:pStyle w:val="Akapitzlist"/>
        <w:numPr>
          <w:ilvl w:val="0"/>
          <w:numId w:val="3"/>
        </w:numPr>
        <w:jc w:val="both"/>
        <w:rPr>
          <w:rFonts w:ascii="Arial" w:hAnsi="Arial" w:cs="Arial"/>
        </w:rPr>
      </w:pPr>
      <w:r w:rsidRPr="008F65C2">
        <w:rPr>
          <w:rFonts w:ascii="Arial" w:hAnsi="Arial" w:cs="Arial"/>
        </w:rPr>
        <w:t xml:space="preserve">wskaźniki rezultatu. </w:t>
      </w:r>
    </w:p>
    <w:p w:rsidR="008F65C2" w:rsidRPr="008F65C2" w:rsidRDefault="008F65C2" w:rsidP="00850B10">
      <w:pPr>
        <w:jc w:val="both"/>
        <w:rPr>
          <w:rFonts w:ascii="Arial" w:hAnsi="Arial" w:cs="Arial"/>
        </w:rPr>
      </w:pPr>
      <w:r w:rsidRPr="008F65C2">
        <w:rPr>
          <w:rFonts w:ascii="Arial" w:hAnsi="Arial" w:cs="Arial"/>
        </w:rPr>
        <w:t>Monitoring finansowy będzie obejmował natomiast dane realizacji projektów, będących podstawą do oceny sprawności wydatkowania przeznaczonych na nie środków finansowych.</w:t>
      </w:r>
    </w:p>
    <w:p w:rsidR="004A05B0" w:rsidRPr="000836C9" w:rsidRDefault="00734A0D" w:rsidP="00850B10">
      <w:pPr>
        <w:jc w:val="both"/>
        <w:rPr>
          <w:rFonts w:ascii="Arial" w:hAnsi="Arial" w:cs="Arial"/>
        </w:rPr>
      </w:pPr>
      <w:r w:rsidRPr="000836C9">
        <w:rPr>
          <w:rFonts w:ascii="Arial" w:hAnsi="Arial" w:cs="Arial"/>
        </w:rPr>
        <w:t>Dokumenty określają konstrukcje systemu monitorowania, umo</w:t>
      </w:r>
      <w:r w:rsidR="00425AE7">
        <w:rPr>
          <w:rFonts w:ascii="Arial" w:hAnsi="Arial" w:cs="Arial"/>
        </w:rPr>
        <w:t>żliwiającego pomiar, kontrolę i </w:t>
      </w:r>
      <w:r w:rsidRPr="000836C9">
        <w:rPr>
          <w:rFonts w:ascii="Arial" w:hAnsi="Arial" w:cs="Arial"/>
        </w:rPr>
        <w:t>interpretację efektów realizowanych działań.</w:t>
      </w:r>
      <w:r w:rsidR="00D67778" w:rsidRPr="000836C9">
        <w:rPr>
          <w:rFonts w:ascii="Arial" w:hAnsi="Arial" w:cs="Arial"/>
        </w:rPr>
        <w:t xml:space="preserve"> Wskazane w Prognozie oddziaływania na środowisko propozycje wskaźników monitorowania są właściwe i pozwalają w pełni ocenić zmiany, jakie następują w środowisku w wyniku ich realizacji.</w:t>
      </w:r>
    </w:p>
    <w:p w:rsidR="00734A0D" w:rsidRPr="000836C9" w:rsidRDefault="00734A0D" w:rsidP="00850B10">
      <w:pPr>
        <w:jc w:val="both"/>
        <w:rPr>
          <w:rFonts w:ascii="Arial" w:hAnsi="Arial" w:cs="Arial"/>
        </w:rPr>
      </w:pPr>
    </w:p>
    <w:sectPr w:rsidR="00734A0D" w:rsidRPr="00083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2A80"/>
    <w:multiLevelType w:val="hybridMultilevel"/>
    <w:tmpl w:val="7916CC14"/>
    <w:lvl w:ilvl="0" w:tplc="9E189F0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8E84C46"/>
    <w:multiLevelType w:val="hybridMultilevel"/>
    <w:tmpl w:val="B59486CC"/>
    <w:lvl w:ilvl="0" w:tplc="FD3A3F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327AA8"/>
    <w:multiLevelType w:val="hybridMultilevel"/>
    <w:tmpl w:val="B9BC1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E7"/>
    <w:rsid w:val="00007945"/>
    <w:rsid w:val="000836C9"/>
    <w:rsid w:val="001C39A3"/>
    <w:rsid w:val="00263AA6"/>
    <w:rsid w:val="00271389"/>
    <w:rsid w:val="00326F2A"/>
    <w:rsid w:val="003D196D"/>
    <w:rsid w:val="00414E2E"/>
    <w:rsid w:val="00425AE7"/>
    <w:rsid w:val="004904E7"/>
    <w:rsid w:val="004A05B0"/>
    <w:rsid w:val="004F6878"/>
    <w:rsid w:val="00501AB7"/>
    <w:rsid w:val="005B42C3"/>
    <w:rsid w:val="005B656D"/>
    <w:rsid w:val="00656A58"/>
    <w:rsid w:val="00690808"/>
    <w:rsid w:val="00707C70"/>
    <w:rsid w:val="00734A0D"/>
    <w:rsid w:val="00850B10"/>
    <w:rsid w:val="008F65C2"/>
    <w:rsid w:val="00930611"/>
    <w:rsid w:val="009C329D"/>
    <w:rsid w:val="00A8628D"/>
    <w:rsid w:val="00AA3617"/>
    <w:rsid w:val="00C00B5C"/>
    <w:rsid w:val="00C77D0E"/>
    <w:rsid w:val="00D030CE"/>
    <w:rsid w:val="00D67778"/>
    <w:rsid w:val="00DD140D"/>
    <w:rsid w:val="00F23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0702E-5671-4F9C-820F-7DF366F5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904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4E7"/>
    <w:rPr>
      <w:rFonts w:ascii="Tahoma" w:hAnsi="Tahoma" w:cs="Tahoma"/>
      <w:sz w:val="16"/>
      <w:szCs w:val="16"/>
    </w:rPr>
  </w:style>
  <w:style w:type="paragraph" w:styleId="Akapitzlist">
    <w:name w:val="List Paragraph"/>
    <w:basedOn w:val="Normalny"/>
    <w:uiPriority w:val="34"/>
    <w:qFormat/>
    <w:rsid w:val="004904E7"/>
    <w:pPr>
      <w:ind w:left="720"/>
      <w:contextualSpacing/>
    </w:pPr>
  </w:style>
  <w:style w:type="character" w:styleId="Hipercze">
    <w:name w:val="Hyperlink"/>
    <w:basedOn w:val="Domylnaczcionkaakapitu"/>
    <w:uiPriority w:val="99"/>
    <w:unhideWhenUsed/>
    <w:rsid w:val="009C3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zycko.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1136</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Majewska</dc:creator>
  <cp:lastModifiedBy>Maria Majewska</cp:lastModifiedBy>
  <cp:revision>10</cp:revision>
  <cp:lastPrinted>2016-09-09T10:23:00Z</cp:lastPrinted>
  <dcterms:created xsi:type="dcterms:W3CDTF">2016-09-09T09:57:00Z</dcterms:created>
  <dcterms:modified xsi:type="dcterms:W3CDTF">2016-09-09T11:26:00Z</dcterms:modified>
</cp:coreProperties>
</file>