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D80" w:rsidRPr="00FC5200" w:rsidRDefault="00E34C0B">
      <w:pPr>
        <w:pStyle w:val="Nagwek"/>
        <w:jc w:val="center"/>
        <w:rPr>
          <w:rFonts w:ascii="Arial" w:hAnsi="Arial" w:cs="Arial"/>
        </w:rPr>
      </w:pPr>
      <w:bookmarkStart w:id="0" w:name="_Toc409557654"/>
      <w:bookmarkStart w:id="1" w:name="_Toc409557777"/>
      <w:bookmarkStart w:id="2" w:name="_Toc410652366"/>
      <w:bookmarkStart w:id="3" w:name="_Toc375316632"/>
      <w:r w:rsidRPr="005D180E">
        <w:rPr>
          <w:noProof/>
        </w:rPr>
        <w:drawing>
          <wp:inline distT="0" distB="0" distL="0" distR="0" wp14:anchorId="138ABD49" wp14:editId="4C8C5EAE">
            <wp:extent cx="5972810" cy="592455"/>
            <wp:effectExtent l="0" t="0" r="8890" b="0"/>
            <wp:docPr id="2" name="Obraz 2" descr="C:\Users\Ela Michalczyk\Desktop\LOGA, zasady  prom\2014-2020 RPO\logotypy po 1 stycznia 2018\Poziom\EFR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Ela Michalczyk\Desktop\LOGA, zasady  prom\2014-2020 RPO\logotypy po 1 stycznia 2018\Poziom\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F2C" w:rsidRPr="00FC5200" w:rsidRDefault="00C05F2C" w:rsidP="000D2172">
      <w:pPr>
        <w:jc w:val="center"/>
        <w:rPr>
          <w:rFonts w:ascii="Arial" w:hAnsi="Arial" w:cs="Arial"/>
          <w:sz w:val="20"/>
          <w:szCs w:val="20"/>
        </w:rPr>
      </w:pPr>
    </w:p>
    <w:p w:rsidR="00C05F2C" w:rsidRPr="00FC5200" w:rsidRDefault="00C05F2C" w:rsidP="00820EFC">
      <w:pPr>
        <w:jc w:val="right"/>
        <w:rPr>
          <w:rFonts w:ascii="Arial" w:hAnsi="Arial" w:cs="Arial"/>
          <w:sz w:val="20"/>
          <w:szCs w:val="20"/>
        </w:rPr>
      </w:pPr>
    </w:p>
    <w:p w:rsidR="00ED4071" w:rsidRPr="00FC5200" w:rsidRDefault="00C05F2C" w:rsidP="00ED4071">
      <w:pPr>
        <w:tabs>
          <w:tab w:val="left" w:pos="5691"/>
          <w:tab w:val="center" w:pos="7002"/>
        </w:tabs>
        <w:rPr>
          <w:rFonts w:ascii="Arial" w:hAnsi="Arial" w:cs="Arial"/>
          <w:sz w:val="16"/>
          <w:szCs w:val="20"/>
        </w:rPr>
      </w:pPr>
      <w:r w:rsidRPr="00FC5200">
        <w:rPr>
          <w:rFonts w:ascii="Arial" w:hAnsi="Arial" w:cs="Arial"/>
          <w:sz w:val="20"/>
          <w:szCs w:val="20"/>
        </w:rPr>
        <w:tab/>
      </w:r>
      <w:r w:rsidRPr="00FC5200">
        <w:rPr>
          <w:rFonts w:ascii="Arial" w:hAnsi="Arial" w:cs="Arial"/>
          <w:sz w:val="20"/>
          <w:szCs w:val="20"/>
        </w:rPr>
        <w:tab/>
      </w:r>
      <w:bookmarkEnd w:id="0"/>
      <w:bookmarkEnd w:id="1"/>
      <w:bookmarkEnd w:id="2"/>
      <w:bookmarkEnd w:id="3"/>
    </w:p>
    <w:p w:rsidR="00ED4071" w:rsidRPr="00FC5200" w:rsidRDefault="001748FD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FC5200">
        <w:rPr>
          <w:rFonts w:ascii="Arial" w:hAnsi="Arial" w:cs="Arial"/>
          <w:sz w:val="18"/>
          <w:szCs w:val="20"/>
        </w:rPr>
        <w:t>Załącznik nr</w:t>
      </w:r>
      <w:r w:rsidR="0065040F" w:rsidRPr="00FC5200">
        <w:rPr>
          <w:rFonts w:ascii="Arial" w:hAnsi="Arial" w:cs="Arial"/>
          <w:sz w:val="18"/>
          <w:szCs w:val="20"/>
        </w:rPr>
        <w:t xml:space="preserve"> </w:t>
      </w:r>
      <w:r w:rsidR="00370D2B">
        <w:rPr>
          <w:rFonts w:ascii="Arial" w:hAnsi="Arial" w:cs="Arial"/>
          <w:sz w:val="18"/>
          <w:szCs w:val="20"/>
        </w:rPr>
        <w:t>11</w:t>
      </w:r>
      <w:r w:rsidRPr="00FC5200">
        <w:rPr>
          <w:rFonts w:ascii="Arial" w:hAnsi="Arial" w:cs="Arial"/>
          <w:sz w:val="18"/>
          <w:szCs w:val="20"/>
        </w:rPr>
        <w:t xml:space="preserve"> </w:t>
      </w:r>
      <w:r w:rsidR="00ED4071" w:rsidRPr="00FC5200">
        <w:rPr>
          <w:rFonts w:ascii="Arial" w:hAnsi="Arial" w:cs="Arial"/>
          <w:sz w:val="18"/>
          <w:szCs w:val="20"/>
        </w:rPr>
        <w:t>do Regulaminu</w:t>
      </w:r>
    </w:p>
    <w:p w:rsidR="00ED4071" w:rsidRPr="00FC5200" w:rsidRDefault="00ED4071" w:rsidP="00ED4071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20"/>
        </w:rPr>
      </w:pPr>
      <w:r w:rsidRPr="00FC5200">
        <w:rPr>
          <w:rFonts w:ascii="Arial" w:hAnsi="Arial" w:cs="Arial"/>
          <w:sz w:val="18"/>
          <w:szCs w:val="20"/>
        </w:rPr>
        <w:t>konkursu nr RPWM.01.0</w:t>
      </w:r>
      <w:r w:rsidR="009C7E13" w:rsidRPr="00FC5200">
        <w:rPr>
          <w:rFonts w:ascii="Arial" w:hAnsi="Arial" w:cs="Arial"/>
          <w:sz w:val="18"/>
          <w:szCs w:val="20"/>
        </w:rPr>
        <w:t>4</w:t>
      </w:r>
      <w:r w:rsidRPr="00FC5200">
        <w:rPr>
          <w:rFonts w:ascii="Arial" w:hAnsi="Arial" w:cs="Arial"/>
          <w:sz w:val="18"/>
          <w:szCs w:val="20"/>
        </w:rPr>
        <w:t>.0</w:t>
      </w:r>
      <w:r w:rsidR="00595400" w:rsidRPr="00FC5200">
        <w:rPr>
          <w:rFonts w:ascii="Arial" w:hAnsi="Arial" w:cs="Arial"/>
          <w:sz w:val="18"/>
          <w:szCs w:val="20"/>
        </w:rPr>
        <w:t>3</w:t>
      </w:r>
      <w:r w:rsidRPr="00FC5200">
        <w:rPr>
          <w:rFonts w:ascii="Arial" w:hAnsi="Arial" w:cs="Arial"/>
          <w:sz w:val="18"/>
          <w:szCs w:val="20"/>
        </w:rPr>
        <w:t>-I</w:t>
      </w:r>
      <w:r w:rsidR="00BC10FE" w:rsidRPr="00FC5200">
        <w:rPr>
          <w:rFonts w:ascii="Arial" w:hAnsi="Arial" w:cs="Arial"/>
          <w:sz w:val="18"/>
          <w:szCs w:val="20"/>
        </w:rPr>
        <w:t>P</w:t>
      </w:r>
      <w:r w:rsidRPr="00FC5200">
        <w:rPr>
          <w:rFonts w:ascii="Arial" w:hAnsi="Arial" w:cs="Arial"/>
          <w:sz w:val="18"/>
          <w:szCs w:val="20"/>
        </w:rPr>
        <w:t>.0</w:t>
      </w:r>
      <w:r w:rsidR="00BC10FE" w:rsidRPr="00FC5200">
        <w:rPr>
          <w:rFonts w:ascii="Arial" w:hAnsi="Arial" w:cs="Arial"/>
          <w:sz w:val="18"/>
          <w:szCs w:val="20"/>
        </w:rPr>
        <w:t>3</w:t>
      </w:r>
      <w:r w:rsidRPr="00FC5200">
        <w:rPr>
          <w:rFonts w:ascii="Arial" w:hAnsi="Arial" w:cs="Arial"/>
          <w:sz w:val="18"/>
          <w:szCs w:val="20"/>
        </w:rPr>
        <w:t>-28-001/1</w:t>
      </w:r>
      <w:r w:rsidR="00596340" w:rsidRPr="00FC5200">
        <w:rPr>
          <w:rFonts w:ascii="Arial" w:hAnsi="Arial" w:cs="Arial"/>
          <w:sz w:val="18"/>
          <w:szCs w:val="20"/>
        </w:rPr>
        <w:t>8</w:t>
      </w:r>
      <w:r w:rsidRPr="00FC5200">
        <w:rPr>
          <w:rFonts w:ascii="Arial" w:hAnsi="Arial" w:cs="Arial"/>
          <w:sz w:val="18"/>
          <w:szCs w:val="20"/>
        </w:rPr>
        <w:t>(…)</w:t>
      </w:r>
    </w:p>
    <w:p w:rsidR="00ED4071" w:rsidRPr="00FC5200" w:rsidRDefault="00ED4071" w:rsidP="00ED4071">
      <w:pPr>
        <w:jc w:val="right"/>
        <w:rPr>
          <w:rFonts w:ascii="Arial" w:hAnsi="Arial" w:cs="Arial"/>
          <w:sz w:val="18"/>
          <w:szCs w:val="20"/>
        </w:rPr>
      </w:pPr>
      <w:r w:rsidRPr="00FC5200">
        <w:rPr>
          <w:rFonts w:ascii="Arial" w:hAnsi="Arial" w:cs="Arial"/>
          <w:sz w:val="18"/>
          <w:szCs w:val="20"/>
        </w:rPr>
        <w:t>z</w:t>
      </w:r>
      <w:r w:rsidR="007F2E42" w:rsidRPr="00FC5200">
        <w:rPr>
          <w:rFonts w:ascii="Arial" w:hAnsi="Arial" w:cs="Arial"/>
          <w:sz w:val="18"/>
          <w:szCs w:val="20"/>
        </w:rPr>
        <w:t xml:space="preserve"> </w:t>
      </w:r>
      <w:r w:rsidR="008821BC">
        <w:rPr>
          <w:rFonts w:ascii="Arial" w:hAnsi="Arial" w:cs="Arial"/>
          <w:sz w:val="18"/>
          <w:szCs w:val="20"/>
        </w:rPr>
        <w:t>27.04.</w:t>
      </w:r>
      <w:r w:rsidRPr="00FC5200">
        <w:rPr>
          <w:rFonts w:ascii="Arial" w:hAnsi="Arial" w:cs="Arial"/>
          <w:sz w:val="18"/>
          <w:szCs w:val="20"/>
        </w:rPr>
        <w:t>201</w:t>
      </w:r>
      <w:r w:rsidR="00596340" w:rsidRPr="00FC5200">
        <w:rPr>
          <w:rFonts w:ascii="Arial" w:hAnsi="Arial" w:cs="Arial"/>
          <w:sz w:val="18"/>
          <w:szCs w:val="20"/>
        </w:rPr>
        <w:t>8</w:t>
      </w:r>
      <w:r w:rsidRPr="00FC5200">
        <w:rPr>
          <w:rFonts w:ascii="Arial" w:hAnsi="Arial" w:cs="Arial"/>
          <w:sz w:val="18"/>
          <w:szCs w:val="20"/>
        </w:rPr>
        <w:t xml:space="preserve"> r.</w:t>
      </w:r>
    </w:p>
    <w:p w:rsidR="00ED4071" w:rsidRPr="00FC5200" w:rsidRDefault="001748FD" w:rsidP="005F769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center"/>
        <w:outlineLvl w:val="1"/>
        <w:rPr>
          <w:rFonts w:ascii="Arial" w:hAnsi="Arial" w:cs="Arial"/>
          <w:b/>
          <w:sz w:val="20"/>
          <w:szCs w:val="20"/>
        </w:rPr>
      </w:pPr>
      <w:r w:rsidRPr="00FC5200">
        <w:rPr>
          <w:rFonts w:ascii="Arial" w:hAnsi="Arial" w:cs="Arial"/>
          <w:b/>
          <w:sz w:val="20"/>
          <w:szCs w:val="20"/>
        </w:rPr>
        <w:t xml:space="preserve">Karta z definicjami kryteriów wyboru wraz z </w:t>
      </w:r>
      <w:r w:rsidR="005F7693" w:rsidRPr="00FC5200">
        <w:rPr>
          <w:rFonts w:ascii="Arial" w:hAnsi="Arial" w:cs="Arial"/>
          <w:b/>
          <w:sz w:val="20"/>
          <w:szCs w:val="20"/>
        </w:rPr>
        <w:t>warunkami</w:t>
      </w:r>
      <w:r w:rsidRPr="00FC5200">
        <w:rPr>
          <w:rFonts w:ascii="Arial" w:hAnsi="Arial" w:cs="Arial"/>
          <w:b/>
          <w:sz w:val="20"/>
          <w:szCs w:val="20"/>
        </w:rPr>
        <w:t xml:space="preserve"> formalnymi w ramach</w:t>
      </w:r>
      <w:r w:rsidR="009011EC" w:rsidRPr="00FC5200">
        <w:rPr>
          <w:rFonts w:ascii="Arial" w:hAnsi="Arial" w:cs="Arial"/>
          <w:b/>
          <w:sz w:val="20"/>
          <w:szCs w:val="20"/>
        </w:rPr>
        <w:t xml:space="preserve"> </w:t>
      </w:r>
      <w:r w:rsidR="00ED4071" w:rsidRPr="00FC5200">
        <w:rPr>
          <w:rFonts w:ascii="Arial" w:hAnsi="Arial" w:cs="Arial"/>
          <w:b/>
          <w:sz w:val="20"/>
          <w:szCs w:val="20"/>
        </w:rPr>
        <w:t>Działania 1.</w:t>
      </w:r>
      <w:r w:rsidR="009C7E13" w:rsidRPr="00FC5200">
        <w:rPr>
          <w:rFonts w:ascii="Arial" w:hAnsi="Arial" w:cs="Arial"/>
          <w:b/>
          <w:sz w:val="20"/>
          <w:szCs w:val="20"/>
        </w:rPr>
        <w:t>4</w:t>
      </w:r>
      <w:r w:rsidR="00ED4071" w:rsidRPr="00FC5200">
        <w:rPr>
          <w:rFonts w:ascii="Arial" w:hAnsi="Arial" w:cs="Arial"/>
          <w:b/>
          <w:sz w:val="20"/>
          <w:szCs w:val="20"/>
        </w:rPr>
        <w:t xml:space="preserve"> </w:t>
      </w:r>
      <w:r w:rsidR="009C7E13" w:rsidRPr="00FC5200">
        <w:rPr>
          <w:rFonts w:ascii="Arial" w:hAnsi="Arial" w:cs="Arial"/>
          <w:b/>
          <w:sz w:val="20"/>
          <w:szCs w:val="20"/>
        </w:rPr>
        <w:t>Nowe modele biznesowe i ekspansja</w:t>
      </w:r>
      <w:r w:rsidR="009A684E" w:rsidRPr="00FC5200">
        <w:rPr>
          <w:rFonts w:ascii="Arial" w:hAnsi="Arial" w:cs="Arial"/>
          <w:b/>
          <w:sz w:val="20"/>
          <w:szCs w:val="20"/>
        </w:rPr>
        <w:t xml:space="preserve"> Poddziałania </w:t>
      </w:r>
      <w:r w:rsidR="00ED4071" w:rsidRPr="00FC5200">
        <w:rPr>
          <w:rFonts w:ascii="Arial" w:hAnsi="Arial" w:cs="Arial"/>
          <w:b/>
          <w:sz w:val="20"/>
          <w:szCs w:val="20"/>
        </w:rPr>
        <w:t>1.</w:t>
      </w:r>
      <w:r w:rsidR="009C7E13" w:rsidRPr="00FC5200">
        <w:rPr>
          <w:rFonts w:ascii="Arial" w:hAnsi="Arial" w:cs="Arial"/>
          <w:b/>
          <w:sz w:val="20"/>
          <w:szCs w:val="20"/>
        </w:rPr>
        <w:t>4</w:t>
      </w:r>
      <w:r w:rsidR="00ED4071" w:rsidRPr="00FC5200">
        <w:rPr>
          <w:rFonts w:ascii="Arial" w:hAnsi="Arial" w:cs="Arial"/>
          <w:b/>
          <w:sz w:val="20"/>
          <w:szCs w:val="20"/>
        </w:rPr>
        <w:t>.</w:t>
      </w:r>
      <w:r w:rsidR="00595400" w:rsidRPr="00FC5200">
        <w:rPr>
          <w:rFonts w:ascii="Arial" w:hAnsi="Arial" w:cs="Arial"/>
          <w:b/>
          <w:sz w:val="20"/>
          <w:szCs w:val="20"/>
        </w:rPr>
        <w:t>3</w:t>
      </w:r>
      <w:r w:rsidR="00ED4071" w:rsidRPr="00FC5200">
        <w:rPr>
          <w:rFonts w:ascii="Arial" w:hAnsi="Arial" w:cs="Arial"/>
          <w:b/>
          <w:sz w:val="20"/>
          <w:szCs w:val="20"/>
        </w:rPr>
        <w:t xml:space="preserve"> </w:t>
      </w:r>
      <w:r w:rsidR="00595400" w:rsidRPr="00FC5200">
        <w:rPr>
          <w:rFonts w:ascii="Arial" w:hAnsi="Arial" w:cs="Arial"/>
          <w:b/>
          <w:sz w:val="20"/>
          <w:szCs w:val="20"/>
        </w:rPr>
        <w:t>Technologie informacyjno-komunikacyjne w działalności MŚP</w:t>
      </w:r>
      <w:r w:rsidR="009C7E13" w:rsidRPr="00FC5200">
        <w:rPr>
          <w:rFonts w:ascii="Arial" w:hAnsi="Arial" w:cs="Arial"/>
          <w:b/>
          <w:sz w:val="20"/>
          <w:szCs w:val="20"/>
        </w:rPr>
        <w:t xml:space="preserve"> </w:t>
      </w:r>
      <w:r w:rsidR="00ED4071" w:rsidRPr="00FC5200">
        <w:rPr>
          <w:rFonts w:ascii="Arial" w:hAnsi="Arial" w:cs="Arial"/>
          <w:b/>
          <w:sz w:val="20"/>
          <w:szCs w:val="20"/>
        </w:rPr>
        <w:t>Regionalnego Programu Operacyjnego Województwa Warmińsko-Mazurskiego na lata 2014-2020</w:t>
      </w:r>
    </w:p>
    <w:p w:rsidR="00797B05" w:rsidRDefault="00797B05" w:rsidP="00797B05">
      <w:pPr>
        <w:jc w:val="center"/>
        <w:outlineLvl w:val="1"/>
        <w:rPr>
          <w:rFonts w:ascii="Arial" w:hAnsi="Arial" w:cs="Arial"/>
          <w:i/>
        </w:rPr>
      </w:pPr>
    </w:p>
    <w:tbl>
      <w:tblPr>
        <w:tblW w:w="52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833"/>
        <w:gridCol w:w="6018"/>
        <w:gridCol w:w="5384"/>
      </w:tblGrid>
      <w:tr w:rsidR="00797B05" w:rsidRPr="00F76DA6" w:rsidTr="00D42224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797B05" w:rsidRPr="00F76DA6" w:rsidRDefault="00797B05" w:rsidP="00C471AB">
            <w:pPr>
              <w:pStyle w:val="Default"/>
              <w:spacing w:before="120" w:after="12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F76DA6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WARUNKI FORMALNE WYBORU PROJEKTÓW KONKURSOWYCH W RAMACH REGIONALNEGO PROGRAMU OPERACYJNEGO WOJEWÓDZTWA WARMIŃSKO-MAZURSKIEGO NA LATA 2014-2020</w:t>
            </w:r>
          </w:p>
          <w:p w:rsidR="00797B05" w:rsidRPr="00F76DA6" w:rsidRDefault="00797B05" w:rsidP="00C471AB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i/>
                <w:color w:val="auto"/>
                <w:sz w:val="18"/>
                <w:szCs w:val="18"/>
              </w:rPr>
            </w:pPr>
            <w:r w:rsidRPr="00F76DA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Wezwanie do uzupełnienia lub poprawienia wniosku nastąpi zgodnie z art. 43 Ustawy z dnia 11 lipca 2014 r. o zasadach realizacji programów w zakresie polityki spójności finansowanych w perspektywie finansowej 2014-2020.</w:t>
            </w:r>
          </w:p>
        </w:tc>
      </w:tr>
      <w:tr w:rsidR="00797B05" w:rsidRPr="00F76DA6" w:rsidTr="00D42224">
        <w:trPr>
          <w:trHeight w:val="429"/>
        </w:trPr>
        <w:tc>
          <w:tcPr>
            <w:tcW w:w="191" w:type="pct"/>
            <w:vMerge w:val="restart"/>
            <w:shd w:val="clear" w:color="auto" w:fill="B2A1C7"/>
            <w:vAlign w:val="center"/>
          </w:tcPr>
          <w:p w:rsidR="00797B05" w:rsidRPr="00F76DA6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F76DA6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957" w:type="pct"/>
            <w:vMerge w:val="restart"/>
            <w:shd w:val="clear" w:color="auto" w:fill="B2A1C7"/>
            <w:vAlign w:val="center"/>
          </w:tcPr>
          <w:p w:rsidR="00797B05" w:rsidRPr="00F76DA6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F76DA6">
              <w:rPr>
                <w:rFonts w:ascii="Arial" w:hAnsi="Arial" w:cs="Arial"/>
                <w:b/>
                <w:iCs/>
                <w:sz w:val="18"/>
                <w:szCs w:val="18"/>
              </w:rPr>
              <w:t>Nazwa warunku</w:t>
            </w:r>
          </w:p>
        </w:tc>
        <w:tc>
          <w:tcPr>
            <w:tcW w:w="2033" w:type="pct"/>
            <w:vMerge w:val="restart"/>
            <w:shd w:val="clear" w:color="auto" w:fill="B2A1C7"/>
            <w:vAlign w:val="center"/>
          </w:tcPr>
          <w:p w:rsidR="00797B05" w:rsidRPr="00F76DA6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ind w:firstLine="28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F76DA6">
              <w:rPr>
                <w:rFonts w:ascii="Arial" w:hAnsi="Arial" w:cs="Arial"/>
                <w:b/>
                <w:iCs/>
                <w:sz w:val="18"/>
                <w:szCs w:val="18"/>
              </w:rPr>
              <w:t>Definicja warunku</w:t>
            </w:r>
          </w:p>
        </w:tc>
        <w:tc>
          <w:tcPr>
            <w:tcW w:w="1819" w:type="pct"/>
            <w:vMerge w:val="restart"/>
            <w:shd w:val="clear" w:color="auto" w:fill="B2A1C7"/>
            <w:vAlign w:val="center"/>
          </w:tcPr>
          <w:p w:rsidR="00797B05" w:rsidRPr="00F76DA6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Cs/>
                <w:strike/>
                <w:sz w:val="18"/>
                <w:szCs w:val="18"/>
              </w:rPr>
            </w:pPr>
            <w:r w:rsidRPr="00F76DA6">
              <w:rPr>
                <w:rFonts w:ascii="Arial" w:hAnsi="Arial" w:cs="Arial"/>
                <w:iCs/>
                <w:sz w:val="18"/>
                <w:szCs w:val="18"/>
              </w:rPr>
              <w:t xml:space="preserve">Opis </w:t>
            </w:r>
            <w:bookmarkStart w:id="4" w:name="_GoBack"/>
            <w:bookmarkEnd w:id="4"/>
            <w:r w:rsidRPr="00F76DA6">
              <w:rPr>
                <w:rFonts w:ascii="Arial" w:hAnsi="Arial" w:cs="Arial"/>
                <w:iCs/>
                <w:sz w:val="18"/>
                <w:szCs w:val="18"/>
              </w:rPr>
              <w:t>warunku</w:t>
            </w:r>
          </w:p>
        </w:tc>
      </w:tr>
      <w:tr w:rsidR="00797B05" w:rsidRPr="00F76DA6" w:rsidTr="00D42224">
        <w:trPr>
          <w:trHeight w:val="447"/>
        </w:trPr>
        <w:tc>
          <w:tcPr>
            <w:tcW w:w="191" w:type="pct"/>
            <w:vMerge/>
            <w:shd w:val="clear" w:color="auto" w:fill="B2A1C7"/>
          </w:tcPr>
          <w:p w:rsidR="00797B05" w:rsidRPr="00F76DA6" w:rsidRDefault="00797B05" w:rsidP="00C967C8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957" w:type="pct"/>
            <w:vMerge/>
            <w:shd w:val="clear" w:color="auto" w:fill="B2A1C7"/>
            <w:vAlign w:val="center"/>
          </w:tcPr>
          <w:p w:rsidR="00797B05" w:rsidRPr="00F76DA6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2033" w:type="pct"/>
            <w:vMerge/>
            <w:shd w:val="clear" w:color="auto" w:fill="B2A1C7"/>
            <w:vAlign w:val="center"/>
          </w:tcPr>
          <w:p w:rsidR="00797B05" w:rsidRPr="00F76DA6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1819" w:type="pct"/>
            <w:vMerge/>
            <w:shd w:val="clear" w:color="auto" w:fill="B2A1C7"/>
            <w:vAlign w:val="center"/>
          </w:tcPr>
          <w:p w:rsidR="00797B05" w:rsidRPr="00F76DA6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Cs/>
                <w:strike/>
                <w:sz w:val="18"/>
                <w:szCs w:val="18"/>
              </w:rPr>
            </w:pPr>
          </w:p>
        </w:tc>
      </w:tr>
      <w:tr w:rsidR="00797B05" w:rsidRPr="00F76DA6" w:rsidTr="00D42224">
        <w:trPr>
          <w:trHeight w:val="1357"/>
        </w:trPr>
        <w:tc>
          <w:tcPr>
            <w:tcW w:w="191" w:type="pct"/>
            <w:vAlign w:val="center"/>
          </w:tcPr>
          <w:p w:rsidR="00797B05" w:rsidRPr="00F76DA6" w:rsidRDefault="00797B05" w:rsidP="00C967C8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F76DA6">
              <w:rPr>
                <w:rFonts w:ascii="Arial" w:hAnsi="Arial" w:cs="Arial"/>
                <w:b/>
                <w:iCs/>
                <w:sz w:val="18"/>
                <w:szCs w:val="18"/>
              </w:rPr>
              <w:t>1.</w:t>
            </w:r>
          </w:p>
        </w:tc>
        <w:tc>
          <w:tcPr>
            <w:tcW w:w="957" w:type="pct"/>
            <w:vAlign w:val="center"/>
          </w:tcPr>
          <w:p w:rsidR="00797B05" w:rsidRPr="00F76DA6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76DA6">
              <w:rPr>
                <w:rFonts w:ascii="Arial" w:hAnsi="Arial" w:cs="Arial"/>
                <w:color w:val="auto"/>
                <w:sz w:val="18"/>
                <w:szCs w:val="18"/>
              </w:rPr>
              <w:t>Kompletność wniosku i załączników</w:t>
            </w:r>
          </w:p>
        </w:tc>
        <w:tc>
          <w:tcPr>
            <w:tcW w:w="2033" w:type="pct"/>
            <w:vAlign w:val="center"/>
          </w:tcPr>
          <w:p w:rsidR="00797B05" w:rsidRPr="00F76DA6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6DA6">
              <w:rPr>
                <w:rFonts w:ascii="Arial" w:hAnsi="Arial" w:cs="Arial"/>
                <w:sz w:val="18"/>
                <w:szCs w:val="18"/>
              </w:rPr>
              <w:t>Wniosek o dofinansowanie i załączniki są kompletne, spójne i sporządzone zgodnie z instrukcją wypełniania wniosku o dofinansowanie i regulaminem konkursu</w:t>
            </w:r>
          </w:p>
        </w:tc>
        <w:tc>
          <w:tcPr>
            <w:tcW w:w="1819" w:type="pct"/>
            <w:vAlign w:val="center"/>
          </w:tcPr>
          <w:p w:rsidR="00797B05" w:rsidRPr="00F76DA6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6DA6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797B05" w:rsidRPr="00F76DA6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F76DA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  <w:tr w:rsidR="00797B05" w:rsidRPr="00F76DA6" w:rsidTr="00D42224">
        <w:tc>
          <w:tcPr>
            <w:tcW w:w="191" w:type="pct"/>
            <w:vAlign w:val="center"/>
          </w:tcPr>
          <w:p w:rsidR="00797B05" w:rsidRPr="00F76DA6" w:rsidRDefault="00797B05" w:rsidP="00C967C8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F76DA6">
              <w:rPr>
                <w:rFonts w:ascii="Arial" w:hAnsi="Arial" w:cs="Arial"/>
                <w:b/>
                <w:iCs/>
                <w:sz w:val="18"/>
                <w:szCs w:val="18"/>
              </w:rPr>
              <w:t>2.</w:t>
            </w:r>
          </w:p>
        </w:tc>
        <w:tc>
          <w:tcPr>
            <w:tcW w:w="957" w:type="pct"/>
            <w:vAlign w:val="center"/>
          </w:tcPr>
          <w:p w:rsidR="00797B05" w:rsidRPr="00F76DA6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76DA6">
              <w:rPr>
                <w:rFonts w:ascii="Arial" w:hAnsi="Arial" w:cs="Arial"/>
                <w:color w:val="auto"/>
                <w:sz w:val="18"/>
                <w:szCs w:val="18"/>
              </w:rPr>
              <w:t>Forma złożenia wniosku i załączników</w:t>
            </w:r>
          </w:p>
        </w:tc>
        <w:tc>
          <w:tcPr>
            <w:tcW w:w="2033" w:type="pct"/>
            <w:vAlign w:val="center"/>
          </w:tcPr>
          <w:p w:rsidR="00797B05" w:rsidRPr="00F76DA6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76DA6">
              <w:rPr>
                <w:rFonts w:ascii="Arial" w:hAnsi="Arial" w:cs="Arial"/>
                <w:sz w:val="18"/>
                <w:szCs w:val="18"/>
              </w:rPr>
              <w:t>Wniosek o dofinansowanie wraz z załącznikami został złożony formie określonej w regulaminie konkursu</w:t>
            </w:r>
          </w:p>
        </w:tc>
        <w:tc>
          <w:tcPr>
            <w:tcW w:w="1819" w:type="pct"/>
            <w:vAlign w:val="center"/>
          </w:tcPr>
          <w:p w:rsidR="00797B05" w:rsidRPr="00F76DA6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6DA6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797B05" w:rsidRPr="00F76DA6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F76DA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Ocena spełniania warunku polega na przypisaniu  wartości logicznych „tak” lub „nie”.</w:t>
            </w:r>
          </w:p>
        </w:tc>
      </w:tr>
      <w:tr w:rsidR="00797B05" w:rsidRPr="00F76DA6" w:rsidTr="00D42224">
        <w:tc>
          <w:tcPr>
            <w:tcW w:w="191" w:type="pct"/>
            <w:vAlign w:val="center"/>
          </w:tcPr>
          <w:p w:rsidR="00797B05" w:rsidRPr="00F76DA6" w:rsidRDefault="00797B05" w:rsidP="00C967C8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F76DA6">
              <w:rPr>
                <w:rFonts w:ascii="Arial" w:hAnsi="Arial" w:cs="Arial"/>
                <w:b/>
                <w:iCs/>
                <w:sz w:val="18"/>
                <w:szCs w:val="18"/>
              </w:rPr>
              <w:t>3.</w:t>
            </w:r>
          </w:p>
        </w:tc>
        <w:tc>
          <w:tcPr>
            <w:tcW w:w="957" w:type="pct"/>
            <w:vAlign w:val="center"/>
          </w:tcPr>
          <w:p w:rsidR="00797B05" w:rsidRPr="00F76DA6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76DA6">
              <w:rPr>
                <w:rFonts w:ascii="Arial" w:hAnsi="Arial" w:cs="Arial"/>
                <w:color w:val="auto"/>
                <w:sz w:val="18"/>
                <w:szCs w:val="18"/>
              </w:rPr>
              <w:t xml:space="preserve">Termin złożenia wniosku i załączników </w:t>
            </w:r>
          </w:p>
        </w:tc>
        <w:tc>
          <w:tcPr>
            <w:tcW w:w="2033" w:type="pct"/>
            <w:vAlign w:val="center"/>
          </w:tcPr>
          <w:p w:rsidR="00797B05" w:rsidRPr="00F76DA6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F76DA6">
              <w:rPr>
                <w:rFonts w:ascii="Arial" w:hAnsi="Arial" w:cs="Arial"/>
                <w:sz w:val="18"/>
                <w:szCs w:val="18"/>
              </w:rPr>
              <w:t>Wniosek o dofinansowanie wraz z załącznikami został złożony w terminie określonym w regulaminie konkursu</w:t>
            </w:r>
          </w:p>
        </w:tc>
        <w:tc>
          <w:tcPr>
            <w:tcW w:w="1819" w:type="pct"/>
            <w:vAlign w:val="center"/>
          </w:tcPr>
          <w:p w:rsidR="00797B05" w:rsidRPr="00F76DA6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6DA6">
              <w:rPr>
                <w:rFonts w:ascii="Arial" w:hAnsi="Arial" w:cs="Arial"/>
                <w:sz w:val="18"/>
                <w:szCs w:val="18"/>
              </w:rPr>
              <w:t>Warunek formalny zerojedynkowy.</w:t>
            </w:r>
          </w:p>
          <w:p w:rsidR="00797B05" w:rsidRPr="00F76DA6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6DA6">
              <w:rPr>
                <w:rFonts w:ascii="Arial" w:hAnsi="Arial" w:cs="Arial"/>
                <w:sz w:val="18"/>
                <w:szCs w:val="18"/>
                <w:lang w:eastAsia="en-US"/>
              </w:rPr>
              <w:t>Ocena spełniania warunku polega na przypisaniu wartości logicznych „tak” lub „nie”.</w:t>
            </w:r>
          </w:p>
        </w:tc>
      </w:tr>
    </w:tbl>
    <w:p w:rsidR="00797B05" w:rsidRDefault="00797B05" w:rsidP="00797B05">
      <w:pPr>
        <w:rPr>
          <w:rFonts w:ascii="Arial" w:hAnsi="Arial" w:cs="Arial"/>
        </w:rPr>
      </w:pPr>
    </w:p>
    <w:p w:rsidR="00797B05" w:rsidRDefault="00797B05" w:rsidP="00797B05">
      <w:pPr>
        <w:rPr>
          <w:rFonts w:ascii="Arial" w:hAnsi="Arial" w:cs="Arial"/>
        </w:rPr>
      </w:pPr>
    </w:p>
    <w:p w:rsidR="00797B05" w:rsidRDefault="00797B05" w:rsidP="00797B05">
      <w:pPr>
        <w:rPr>
          <w:rFonts w:ascii="Arial" w:hAnsi="Arial" w:cs="Arial"/>
        </w:rPr>
      </w:pPr>
    </w:p>
    <w:p w:rsidR="00797B05" w:rsidRDefault="00797B05" w:rsidP="00797B05">
      <w:pPr>
        <w:rPr>
          <w:rFonts w:ascii="Arial" w:hAnsi="Arial" w:cs="Arial"/>
        </w:rPr>
      </w:pPr>
    </w:p>
    <w:p w:rsidR="00797B05" w:rsidRDefault="00797B05" w:rsidP="00797B05">
      <w:pPr>
        <w:rPr>
          <w:rFonts w:ascii="Arial" w:hAnsi="Arial" w:cs="Arial"/>
        </w:rPr>
      </w:pPr>
    </w:p>
    <w:p w:rsidR="00797B05" w:rsidRDefault="00797B05" w:rsidP="00797B05">
      <w:pPr>
        <w:rPr>
          <w:rFonts w:ascii="Arial" w:hAnsi="Arial" w:cs="Arial"/>
        </w:rPr>
      </w:pPr>
    </w:p>
    <w:p w:rsidR="00797B05" w:rsidRPr="00D32A94" w:rsidRDefault="00797B05" w:rsidP="00797B05">
      <w:pPr>
        <w:outlineLvl w:val="1"/>
        <w:rPr>
          <w:rFonts w:cs="Calibri"/>
          <w:sz w:val="20"/>
        </w:rPr>
      </w:pPr>
    </w:p>
    <w:tbl>
      <w:tblPr>
        <w:tblpPr w:leftFromText="141" w:rightFromText="141" w:vertAnchor="text" w:tblpY="1"/>
        <w:tblOverlap w:val="never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5739"/>
        <w:gridCol w:w="5529"/>
      </w:tblGrid>
      <w:tr w:rsidR="00797B05" w:rsidRPr="00797B05" w:rsidTr="00D42224">
        <w:tc>
          <w:tcPr>
            <w:tcW w:w="14671" w:type="dxa"/>
            <w:gridSpan w:val="4"/>
            <w:shd w:val="clear" w:color="auto" w:fill="B2A1C7"/>
            <w:vAlign w:val="center"/>
          </w:tcPr>
          <w:p w:rsidR="00797B05" w:rsidRPr="00797B05" w:rsidRDefault="00797B05" w:rsidP="00C471AB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bCs/>
                <w:sz w:val="18"/>
                <w:szCs w:val="18"/>
              </w:rPr>
              <w:t>KRYTERIA FORMALNE WYBORU PROJEKTÓW (OBLIGATORYJNE)</w:t>
            </w:r>
          </w:p>
          <w:p w:rsidR="00797B05" w:rsidRPr="00797B05" w:rsidRDefault="00797B05" w:rsidP="00C471AB">
            <w:pPr>
              <w:pStyle w:val="Default"/>
              <w:spacing w:before="120" w:after="120"/>
              <w:ind w:firstLine="357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B05">
              <w:rPr>
                <w:rFonts w:ascii="Arial" w:hAnsi="Arial" w:cs="Arial"/>
                <w:bCs/>
                <w:i/>
                <w:sz w:val="18"/>
                <w:szCs w:val="18"/>
              </w:rPr>
              <w:t>Projekty niespełniające kryteriów formalnych są odrzucane i nie podlegają dalszej ocenie.</w:t>
            </w:r>
          </w:p>
        </w:tc>
      </w:tr>
      <w:tr w:rsidR="00797B05" w:rsidRPr="00797B05" w:rsidTr="00D42224">
        <w:trPr>
          <w:trHeight w:val="260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797B05" w:rsidRPr="00797B05" w:rsidRDefault="00797B05" w:rsidP="00C47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iCs/>
                <w:sz w:val="18"/>
                <w:szCs w:val="18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797B05" w:rsidRPr="00797B05" w:rsidRDefault="00797B05" w:rsidP="00C471AB">
            <w:pPr>
              <w:keepNext/>
              <w:tabs>
                <w:tab w:val="left" w:pos="435"/>
              </w:tabs>
              <w:snapToGrid w:val="0"/>
              <w:ind w:firstLine="7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iCs/>
                <w:sz w:val="18"/>
                <w:szCs w:val="18"/>
              </w:rPr>
              <w:t>Nazwa kryterium</w:t>
            </w:r>
          </w:p>
        </w:tc>
        <w:tc>
          <w:tcPr>
            <w:tcW w:w="5739" w:type="dxa"/>
            <w:vMerge w:val="restart"/>
            <w:shd w:val="clear" w:color="auto" w:fill="B2A1C7"/>
            <w:vAlign w:val="center"/>
          </w:tcPr>
          <w:p w:rsidR="00797B05" w:rsidRPr="00797B05" w:rsidRDefault="00797B05" w:rsidP="00C471AB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iCs/>
                <w:sz w:val="18"/>
                <w:szCs w:val="18"/>
              </w:rPr>
              <w:t>Definicja kryterium</w:t>
            </w:r>
          </w:p>
        </w:tc>
        <w:tc>
          <w:tcPr>
            <w:tcW w:w="5529" w:type="dxa"/>
            <w:vMerge w:val="restart"/>
            <w:shd w:val="clear" w:color="auto" w:fill="B2A1C7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bCs/>
                <w:strike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 xml:space="preserve">Opis </w:t>
            </w:r>
            <w:r w:rsidRPr="00797B05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kryterium</w:t>
            </w:r>
          </w:p>
        </w:tc>
      </w:tr>
      <w:tr w:rsidR="00797B05" w:rsidRPr="00797B05" w:rsidTr="00D42224">
        <w:trPr>
          <w:trHeight w:val="260"/>
        </w:trPr>
        <w:tc>
          <w:tcPr>
            <w:tcW w:w="639" w:type="dxa"/>
            <w:vMerge/>
            <w:shd w:val="clear" w:color="auto" w:fill="B2A1C7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797B05" w:rsidRPr="00797B05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5739" w:type="dxa"/>
            <w:vMerge/>
            <w:shd w:val="clear" w:color="auto" w:fill="B2A1C7"/>
            <w:vAlign w:val="center"/>
          </w:tcPr>
          <w:p w:rsidR="00797B05" w:rsidRPr="00797B05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  <w:tc>
          <w:tcPr>
            <w:tcW w:w="5529" w:type="dxa"/>
            <w:vMerge/>
            <w:shd w:val="clear" w:color="auto" w:fill="B2A1C7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</w:pPr>
          </w:p>
        </w:tc>
      </w:tr>
      <w:tr w:rsidR="00797B05" w:rsidRPr="00797B05" w:rsidTr="00D42224">
        <w:tc>
          <w:tcPr>
            <w:tcW w:w="639" w:type="dxa"/>
            <w:vAlign w:val="center"/>
          </w:tcPr>
          <w:p w:rsidR="00797B05" w:rsidRPr="00797B05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iCs/>
                <w:sz w:val="18"/>
                <w:szCs w:val="18"/>
              </w:rPr>
              <w:t>1.</w:t>
            </w:r>
          </w:p>
        </w:tc>
        <w:tc>
          <w:tcPr>
            <w:tcW w:w="2764" w:type="dxa"/>
            <w:vAlign w:val="center"/>
          </w:tcPr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Kwalifikowanie się projektu w ramach danego działania /poddziałania zgodnie z zapisami SZOOP</w:t>
            </w:r>
            <w:r w:rsidR="00AB7A9F" w:rsidRPr="005A3491">
              <w:rPr>
                <w:rFonts w:ascii="Arial" w:hAnsi="Arial" w:cs="Arial"/>
                <w:sz w:val="18"/>
                <w:szCs w:val="18"/>
              </w:rPr>
              <w:t xml:space="preserve"> i regulaminu</w:t>
            </w:r>
          </w:p>
        </w:tc>
        <w:tc>
          <w:tcPr>
            <w:tcW w:w="5739" w:type="dxa"/>
            <w:vAlign w:val="center"/>
          </w:tcPr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Projekt wpisuje się w założenia określone w SZOOP i regulaminie, a przyjęte założenia projektu kwalifikują go do wsparcia w ramach poddziałania, do którego został on złożony. </w:t>
            </w:r>
          </w:p>
          <w:p w:rsidR="005A3491" w:rsidRPr="005A3491" w:rsidRDefault="005A3491" w:rsidP="005A34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Instytucja ogłaszająca konkurs może w regulaminie konkursu zawęzić typy projektów w stosunku do wskazanych w SZOOP w ramach poddziałania. </w:t>
            </w:r>
          </w:p>
          <w:p w:rsidR="005A3491" w:rsidRPr="005A3491" w:rsidRDefault="005A3491" w:rsidP="005A34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Weryfikowane w ramach kryterium będzie, czy: </w:t>
            </w:r>
          </w:p>
          <w:p w:rsidR="005A3491" w:rsidRPr="005A3491" w:rsidRDefault="005A3491" w:rsidP="005A3491">
            <w:pPr>
              <w:pStyle w:val="Default"/>
              <w:numPr>
                <w:ilvl w:val="0"/>
                <w:numId w:val="39"/>
              </w:numPr>
              <w:ind w:left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projekt mieści się w katalogu możliwych do realizacji typów projektów </w:t>
            </w:r>
          </w:p>
          <w:p w:rsidR="005A3491" w:rsidRPr="005A3491" w:rsidRDefault="005A3491" w:rsidP="005A3491">
            <w:pPr>
              <w:pStyle w:val="Default"/>
              <w:numPr>
                <w:ilvl w:val="0"/>
                <w:numId w:val="39"/>
              </w:numPr>
              <w:ind w:left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uzasadnienie, opis i cel projektu określone w części III wniosku o dofinansowanie projektu są zgodne z celami poddziałania określonymi w SZOOP, </w:t>
            </w:r>
          </w:p>
          <w:p w:rsidR="005A3491" w:rsidRPr="005A3491" w:rsidRDefault="005A3491" w:rsidP="005A3491">
            <w:pPr>
              <w:pStyle w:val="Default"/>
              <w:numPr>
                <w:ilvl w:val="0"/>
                <w:numId w:val="39"/>
              </w:numPr>
              <w:ind w:left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projekt nie został fizycznie ukończony (w przypadku robót budowlanych) lub w pełni zrealizowany (w przypadku dostaw i usług) przed przedłożeniem do IZ RPO wniosku o dofinansowanie w ramach RPO WiM 2014-2020, niezależnie od tego, czy wszystkie dotyczące tego projektu płatności zostały przez Wnioskodawcę dokonane – z zastrzeżeniem zasad określonych dla pomocy publicznej. </w:t>
            </w:r>
          </w:p>
          <w:p w:rsidR="00797B05" w:rsidRPr="005A3491" w:rsidRDefault="005A3491" w:rsidP="005A3491">
            <w:pPr>
              <w:pStyle w:val="Default"/>
              <w:numPr>
                <w:ilvl w:val="0"/>
                <w:numId w:val="39"/>
              </w:numPr>
              <w:ind w:left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projekt jest zgodny z limitami i ograniczeniami określonymi w SZOOP/regulaminie. </w:t>
            </w:r>
          </w:p>
        </w:tc>
        <w:tc>
          <w:tcPr>
            <w:tcW w:w="5529" w:type="dxa"/>
            <w:vAlign w:val="center"/>
          </w:tcPr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 „nie”</w:t>
            </w:r>
            <w:r w:rsidRPr="005A3491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797B05" w:rsidRPr="00797B05" w:rsidTr="00D42224">
        <w:tc>
          <w:tcPr>
            <w:tcW w:w="639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764" w:type="dxa"/>
            <w:vAlign w:val="center"/>
          </w:tcPr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Niepodleganie wykluczeniu z  możliwości ubiegania się o dofinansowanie ze środków UE na podstawie odrębnych przepisów.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5739" w:type="dxa"/>
            <w:vAlign w:val="center"/>
          </w:tcPr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t>Wnioskodawca oraz partnerzy (o ile dotyczy) nie podlegają wykluczeniu z możliwości otrzymania dofinansowania, w tym wykluczeniu, o którym mowa w:</w:t>
            </w:r>
          </w:p>
          <w:p w:rsidR="00797B05" w:rsidRPr="005A3491" w:rsidRDefault="00797B05" w:rsidP="00C471AB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  <w:tab w:val="left" w:pos="0"/>
              </w:tabs>
              <w:snapToGrid w:val="0"/>
              <w:ind w:left="270" w:hanging="27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t>ustawie z dnia 27 sierpnia 2009 r. o finansach publicznych;</w:t>
            </w:r>
          </w:p>
          <w:p w:rsidR="00797B05" w:rsidRPr="005A3491" w:rsidRDefault="00797B05" w:rsidP="00C471AB">
            <w:pPr>
              <w:pStyle w:val="Tekstkomentarza"/>
              <w:ind w:left="272" w:hanging="27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-  ustawie z dnia 15 czerwca 2012 r. o skutkach powierzania wykonywania pracy cudzoziemcom przebywającym wbrew przepisom na terytorium Rzeczpospolitej Polskiej;</w:t>
            </w:r>
          </w:p>
          <w:p w:rsidR="00797B05" w:rsidRPr="005A3491" w:rsidRDefault="00797B05" w:rsidP="00C471AB">
            <w:pPr>
              <w:pStyle w:val="Tekstpodstawowy"/>
              <w:keepNext/>
              <w:numPr>
                <w:ilvl w:val="0"/>
                <w:numId w:val="4"/>
              </w:numPr>
              <w:tabs>
                <w:tab w:val="clear" w:pos="720"/>
              </w:tabs>
              <w:snapToGrid w:val="0"/>
              <w:ind w:left="270" w:hanging="27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t>ustawie z dnia 28 października 2002 r. o odpowiedzialności podmiotów zbiorowych za czyny zabronione pod groźbą kary.</w:t>
            </w:r>
          </w:p>
          <w:p w:rsidR="00797B05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Kryterium weryfikowane na podstawie informacji pozyskanych z Rejestru Podmiotów Wykluczonych. </w:t>
            </w:r>
          </w:p>
        </w:tc>
        <w:tc>
          <w:tcPr>
            <w:tcW w:w="5529" w:type="dxa"/>
            <w:vAlign w:val="center"/>
          </w:tcPr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„nie”.</w:t>
            </w:r>
          </w:p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5A3491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797B05" w:rsidRPr="00797B05" w:rsidTr="00D42224">
        <w:tc>
          <w:tcPr>
            <w:tcW w:w="639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764" w:type="dxa"/>
            <w:vAlign w:val="center"/>
          </w:tcPr>
          <w:p w:rsidR="00797B05" w:rsidRPr="005A3491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97B05" w:rsidRPr="005A3491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Wartość projektu oraz poziom dofinansowania projektu.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5739" w:type="dxa"/>
            <w:vAlign w:val="center"/>
          </w:tcPr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1) Wartość projektu i jego poziom dofinansowania są zgodne z obowiązującymi poziomami dla poddziałania/typu projektu określonymi w SZOOP/regulaminie. </w:t>
            </w:r>
          </w:p>
          <w:p w:rsidR="005A3491" w:rsidRPr="005A3491" w:rsidRDefault="005A3491" w:rsidP="005A34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Instytucja ogłaszająca konkurs może w regulaminie konkursu zawęzić minimalne/maksymalne ww. wartości wskazane w SZOOP w </w:t>
            </w:r>
            <w:r w:rsidRPr="005A3491">
              <w:rPr>
                <w:rFonts w:ascii="Arial" w:hAnsi="Arial" w:cs="Arial"/>
                <w:sz w:val="18"/>
                <w:szCs w:val="18"/>
              </w:rPr>
              <w:lastRenderedPageBreak/>
              <w:t xml:space="preserve">ramach działania. </w:t>
            </w:r>
          </w:p>
          <w:p w:rsidR="005A3491" w:rsidRPr="005A3491" w:rsidRDefault="005A3491" w:rsidP="005A3491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Weryfikowane w ramach kryterium będzie, czy: </w:t>
            </w:r>
          </w:p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- maksymalny poziom dofinansowania UE wydatków kwalifikowalnych nie przekracza maksymalnego poziomu dofinansowania? </w:t>
            </w:r>
          </w:p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- minimalna i maksymalna wartość projektu nie przekracza minimalnej i maksymalnej wartości projektu? </w:t>
            </w:r>
          </w:p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- minimalna i maksymalna wartość wydatków kwalifikowalnych projektu nie przekracza minimalnej i maksymalnej wartości wydatków kwalifikowalnych ? </w:t>
            </w:r>
          </w:p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- wartość dofinansowania nie jest wyższa niż kwota alokacji? </w:t>
            </w:r>
          </w:p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- wielkość dofinansowania nie przekracza limitu pomocy de minimis (SHRIMP, SUDOP)? </w:t>
            </w:r>
          </w:p>
          <w:p w:rsidR="00797B05" w:rsidRPr="005A3491" w:rsidRDefault="005A3491" w:rsidP="005A3491">
            <w:pPr>
              <w:pStyle w:val="Tekstpodstawowy"/>
              <w:keepNext/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2) Czy w przypadku przedsiębiorstw powiązanych wielkość dofinansowania nie przekracza kumulacji pomocy de minimis? </w:t>
            </w:r>
          </w:p>
        </w:tc>
        <w:tc>
          <w:tcPr>
            <w:tcW w:w="5529" w:type="dxa"/>
            <w:vAlign w:val="center"/>
          </w:tcPr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Kryterium obligatoryjne.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5A3491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5A3491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lastRenderedPageBreak/>
              <w:t>Kryterium powinno być spełnione na moment oceny kryteriów formalnych</w:t>
            </w:r>
          </w:p>
        </w:tc>
      </w:tr>
      <w:tr w:rsidR="00797B05" w:rsidRPr="00797B05" w:rsidTr="00D42224">
        <w:tc>
          <w:tcPr>
            <w:tcW w:w="639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sz w:val="18"/>
                <w:szCs w:val="18"/>
              </w:rPr>
              <w:lastRenderedPageBreak/>
              <w:t>4.</w:t>
            </w:r>
          </w:p>
        </w:tc>
        <w:tc>
          <w:tcPr>
            <w:tcW w:w="2764" w:type="dxa"/>
            <w:vAlign w:val="center"/>
          </w:tcPr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Spełnienie wymogów w odniesieniu do projektu partnerskiego.</w:t>
            </w:r>
          </w:p>
        </w:tc>
        <w:tc>
          <w:tcPr>
            <w:tcW w:w="5739" w:type="dxa"/>
            <w:vAlign w:val="center"/>
          </w:tcPr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Weryfikowane będzie spełnienie przez Wnioskodawcę wymogów w zakresie utworzenia partnerstwa zgodnie z ustawą wdrożeniową. </w:t>
            </w:r>
          </w:p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Kryterium będzie weryfikowane na podstawie zawartego i dołączonego do wniosku o dofinansowanie porozumienia lub / oraz umowy Wnioskodawcy oraz treści wniosku o dofinansowanie. </w:t>
            </w:r>
          </w:p>
          <w:p w:rsidR="00797B05" w:rsidRPr="005A3491" w:rsidRDefault="005A3491" w:rsidP="005A3491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Weryfikowane będzie czy porozumienie/umowa o partnerstwie określają: przedmiot porozumienia albo umowy, prawa i obowiązki stron, zakres i formę udziału poszczególnych partnerów w projekcie, partnera wiodącego uprawnionego do reprezentowania pozostałych partnerów projektu, sposób przekazywania dofinansowania na pokrycie kosztów ponoszonych przez poszczególnych partnerów projektu, umożliwiający określenie kwoty dofinansowania udzielonego każdemu z partnerów, sposób postępowania w przypadku naruszenia lub nie wywiązania się stron z porozumienia lub umowy, sposób i termin wyboru partnerów.</w:t>
            </w:r>
          </w:p>
        </w:tc>
        <w:tc>
          <w:tcPr>
            <w:tcW w:w="5529" w:type="dxa"/>
            <w:vAlign w:val="center"/>
          </w:tcPr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 albo stwierdzeniu, że kryterium nie dotyczy danego projektu.</w:t>
            </w:r>
          </w:p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u w:val="single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  <w:r w:rsidRPr="005A3491">
              <w:rPr>
                <w:rFonts w:ascii="Arial" w:hAnsi="Arial" w:cs="Arial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797B05" w:rsidRPr="00797B05" w:rsidTr="00D42224">
        <w:tc>
          <w:tcPr>
            <w:tcW w:w="639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2764" w:type="dxa"/>
            <w:vAlign w:val="center"/>
          </w:tcPr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Uprawnienie podmiotu do ubiegania się o dofinansowanie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39" w:type="dxa"/>
            <w:vAlign w:val="center"/>
          </w:tcPr>
          <w:p w:rsidR="00797B05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Weryfikowana będzie zgodność formy prawnej Wnioskodawcy/ partnera (jeśli dotyczy) z typem beneficjentów wskazanym w SZOOP w ramach poddziałania i regulaminie. Instytucja ogłaszająca konkurs może w regulaminie konkursu zawęzić typy podmiotów uprawnionych do ubiegania się o dofinansowanie w stosunku do wskazanych w SZOOP w ramach poddziałania. </w:t>
            </w:r>
          </w:p>
        </w:tc>
        <w:tc>
          <w:tcPr>
            <w:tcW w:w="5529" w:type="dxa"/>
            <w:vAlign w:val="center"/>
          </w:tcPr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</w:t>
            </w:r>
            <w:r w:rsidRPr="005A3491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  <w:p w:rsidR="00797B05" w:rsidRPr="005A3491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5A34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Spełnienie kryterium jest konieczne do przyznania dofinansowania. </w:t>
            </w:r>
          </w:p>
        </w:tc>
      </w:tr>
      <w:tr w:rsidR="00797B05" w:rsidRPr="00797B05" w:rsidTr="00D42224">
        <w:tc>
          <w:tcPr>
            <w:tcW w:w="639" w:type="dxa"/>
            <w:vAlign w:val="center"/>
          </w:tcPr>
          <w:p w:rsidR="00797B05" w:rsidRPr="00797B05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iCs/>
                <w:sz w:val="18"/>
                <w:szCs w:val="18"/>
              </w:rPr>
              <w:t>6.</w:t>
            </w:r>
          </w:p>
        </w:tc>
        <w:tc>
          <w:tcPr>
            <w:tcW w:w="2764" w:type="dxa"/>
            <w:vAlign w:val="center"/>
          </w:tcPr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491">
              <w:rPr>
                <w:rFonts w:ascii="Arial" w:hAnsi="Arial" w:cs="Arial"/>
                <w:color w:val="000000"/>
                <w:sz w:val="18"/>
                <w:szCs w:val="18"/>
              </w:rPr>
              <w:t>Poprawne zastosowanie  cross-</w:t>
            </w:r>
            <w:proofErr w:type="spellStart"/>
            <w:r w:rsidRPr="005A3491">
              <w:rPr>
                <w:rFonts w:ascii="Arial" w:hAnsi="Arial" w:cs="Arial"/>
                <w:color w:val="000000"/>
                <w:sz w:val="18"/>
                <w:szCs w:val="18"/>
              </w:rPr>
              <w:t>financingu</w:t>
            </w:r>
            <w:proofErr w:type="spellEnd"/>
            <w:r w:rsidRPr="005A349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39" w:type="dxa"/>
            <w:vAlign w:val="center"/>
          </w:tcPr>
          <w:p w:rsidR="00797B05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Weryfikowane będzie czy warunki i planowany zakres stosowania cross-</w:t>
            </w:r>
            <w:proofErr w:type="spellStart"/>
            <w:r w:rsidRPr="005A3491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5A3491">
              <w:rPr>
                <w:rFonts w:ascii="Arial" w:hAnsi="Arial" w:cs="Arial"/>
                <w:sz w:val="18"/>
                <w:szCs w:val="18"/>
              </w:rPr>
              <w:t xml:space="preserve"> nie przekraczają poziomu wskazanego w pkt SZOOP „Warunki i planowany zakres stosowania cross-</w:t>
            </w:r>
            <w:proofErr w:type="spellStart"/>
            <w:r w:rsidRPr="005A3491">
              <w:rPr>
                <w:rFonts w:ascii="Arial" w:hAnsi="Arial" w:cs="Arial"/>
                <w:sz w:val="18"/>
                <w:szCs w:val="18"/>
              </w:rPr>
              <w:t>financingu</w:t>
            </w:r>
            <w:proofErr w:type="spellEnd"/>
            <w:r w:rsidRPr="005A3491">
              <w:rPr>
                <w:rFonts w:ascii="Arial" w:hAnsi="Arial" w:cs="Arial"/>
                <w:sz w:val="18"/>
                <w:szCs w:val="18"/>
              </w:rPr>
              <w:t xml:space="preserve"> (%)” </w:t>
            </w:r>
          </w:p>
        </w:tc>
        <w:tc>
          <w:tcPr>
            <w:tcW w:w="5529" w:type="dxa"/>
            <w:vAlign w:val="center"/>
          </w:tcPr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 lub „nie”.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 xml:space="preserve">Spełnienie kryterium jest konieczne do przyznania dofinansowania.  </w:t>
            </w:r>
          </w:p>
        </w:tc>
      </w:tr>
      <w:tr w:rsidR="00797B05" w:rsidRPr="00797B05" w:rsidTr="00D42224">
        <w:tc>
          <w:tcPr>
            <w:tcW w:w="639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sz w:val="18"/>
                <w:szCs w:val="18"/>
              </w:rPr>
              <w:t>7.</w:t>
            </w:r>
          </w:p>
        </w:tc>
        <w:tc>
          <w:tcPr>
            <w:tcW w:w="2764" w:type="dxa"/>
            <w:vAlign w:val="center"/>
          </w:tcPr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491">
              <w:rPr>
                <w:rFonts w:ascii="Arial" w:hAnsi="Arial" w:cs="Arial"/>
                <w:color w:val="000000"/>
                <w:sz w:val="18"/>
                <w:szCs w:val="18"/>
              </w:rPr>
              <w:t>Obszar realizacji projektu</w:t>
            </w:r>
            <w:r w:rsidRPr="005A3491">
              <w:rPr>
                <w:rFonts w:ascii="Arial" w:hAnsi="Arial" w:cs="Arial"/>
                <w:strike/>
                <w:color w:val="000000"/>
                <w:sz w:val="18"/>
                <w:szCs w:val="18"/>
              </w:rPr>
              <w:t>.</w:t>
            </w:r>
          </w:p>
        </w:tc>
        <w:tc>
          <w:tcPr>
            <w:tcW w:w="5739" w:type="dxa"/>
            <w:vAlign w:val="center"/>
          </w:tcPr>
          <w:p w:rsidR="00797B05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Weryfikowane będzie czy wskazany obszar realizacji projektu jest zgodny ze wskazanym w SZOOP/ regulaminie w ramach poddziałania. Instytucja ogłaszająca konkurs może w regulaminie konkursu zawęzić obszar realizacji projektu w stosunku do wskazanego w SZOOP w ramach poddziałania </w:t>
            </w:r>
          </w:p>
        </w:tc>
        <w:tc>
          <w:tcPr>
            <w:tcW w:w="5529" w:type="dxa"/>
            <w:vAlign w:val="center"/>
          </w:tcPr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>Kryterium obligatoryjne.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>Kryterium zerojedynkowe.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Ocena spełniania kryteriów polega na przypisaniu im wartości logicznych „tak”, „nie” albo stwierdzeniu, że kryterium nie dotyczy danego projektu.</w:t>
            </w:r>
          </w:p>
          <w:p w:rsidR="00797B05" w:rsidRPr="005A3491" w:rsidRDefault="00797B05" w:rsidP="00C471AB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A3491">
              <w:rPr>
                <w:rFonts w:ascii="Arial" w:hAnsi="Arial" w:cs="Arial"/>
                <w:bCs/>
                <w:sz w:val="18"/>
                <w:szCs w:val="18"/>
              </w:rPr>
              <w:t xml:space="preserve">Spełnienie kryterium jest konieczne do przyznania dofinansowania.  </w:t>
            </w:r>
          </w:p>
        </w:tc>
      </w:tr>
    </w:tbl>
    <w:p w:rsidR="00797B05" w:rsidRDefault="00797B05" w:rsidP="00797B05">
      <w:pPr>
        <w:jc w:val="both"/>
        <w:rPr>
          <w:rFonts w:cs="Calibri"/>
          <w:b/>
          <w:sz w:val="20"/>
          <w:szCs w:val="20"/>
        </w:rPr>
      </w:pPr>
    </w:p>
    <w:p w:rsidR="00797B05" w:rsidRPr="003D6BAA" w:rsidRDefault="00797B05" w:rsidP="00797B05">
      <w:pPr>
        <w:jc w:val="both"/>
        <w:rPr>
          <w:rFonts w:cs="Calibri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94"/>
        <w:gridCol w:w="5811"/>
        <w:gridCol w:w="5529"/>
      </w:tblGrid>
      <w:tr w:rsidR="00797B05" w:rsidRPr="00797B05" w:rsidTr="00D42224">
        <w:trPr>
          <w:trHeight w:val="416"/>
        </w:trPr>
        <w:tc>
          <w:tcPr>
            <w:tcW w:w="14671" w:type="dxa"/>
            <w:gridSpan w:val="4"/>
            <w:shd w:val="clear" w:color="auto" w:fill="B2A1C7"/>
            <w:vAlign w:val="center"/>
          </w:tcPr>
          <w:p w:rsidR="00797B05" w:rsidRPr="00797B05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sz w:val="18"/>
                <w:szCs w:val="18"/>
              </w:rPr>
              <w:t>KRYTERIA MERYTORYCZNE OGÓLNE WYBORU PROJEKTÓW (OBLIGATORYJNE)*</w:t>
            </w:r>
          </w:p>
        </w:tc>
      </w:tr>
      <w:tr w:rsidR="00797B05" w:rsidRPr="00797B05" w:rsidTr="00D42224">
        <w:trPr>
          <w:trHeight w:val="414"/>
        </w:trPr>
        <w:tc>
          <w:tcPr>
            <w:tcW w:w="637" w:type="dxa"/>
            <w:shd w:val="clear" w:color="auto" w:fill="B2A1C7"/>
          </w:tcPr>
          <w:p w:rsidR="00797B05" w:rsidRPr="00797B05" w:rsidRDefault="00797B05" w:rsidP="00C47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shd w:val="clear" w:color="auto" w:fill="B2A1C7"/>
            <w:vAlign w:val="center"/>
          </w:tcPr>
          <w:p w:rsidR="00797B05" w:rsidRPr="00797B05" w:rsidRDefault="00797B05" w:rsidP="00C47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NAZWA KRYTERIUM</w:t>
            </w:r>
          </w:p>
        </w:tc>
        <w:tc>
          <w:tcPr>
            <w:tcW w:w="5811" w:type="dxa"/>
            <w:shd w:val="clear" w:color="auto" w:fill="B2A1C7"/>
            <w:vAlign w:val="center"/>
          </w:tcPr>
          <w:p w:rsidR="00797B05" w:rsidRPr="00797B05" w:rsidRDefault="00797B05" w:rsidP="00C47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DEFINICJA KRYTERIUM</w:t>
            </w:r>
          </w:p>
        </w:tc>
        <w:tc>
          <w:tcPr>
            <w:tcW w:w="5529" w:type="dxa"/>
            <w:shd w:val="clear" w:color="auto" w:fill="B2A1C7"/>
            <w:vAlign w:val="center"/>
          </w:tcPr>
          <w:p w:rsidR="00797B05" w:rsidRPr="00797B05" w:rsidRDefault="00797B05" w:rsidP="00C47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OPIS ZNACZENIA</w:t>
            </w:r>
          </w:p>
        </w:tc>
      </w:tr>
      <w:tr w:rsidR="00797B05" w:rsidRPr="00797B05" w:rsidTr="00D42224">
        <w:tc>
          <w:tcPr>
            <w:tcW w:w="637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  <w:vAlign w:val="center"/>
          </w:tcPr>
          <w:p w:rsidR="00797B05" w:rsidRPr="005A3491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Możliwość uzyskania dofinansowania przez projekt</w:t>
            </w:r>
            <w:r w:rsidRPr="005A3491">
              <w:rPr>
                <w:rFonts w:ascii="Arial" w:hAnsi="Arial" w:cs="Arial"/>
                <w:strike/>
                <w:sz w:val="18"/>
                <w:szCs w:val="18"/>
              </w:rPr>
              <w:t>.</w:t>
            </w:r>
          </w:p>
        </w:tc>
        <w:tc>
          <w:tcPr>
            <w:tcW w:w="5811" w:type="dxa"/>
            <w:vAlign w:val="center"/>
          </w:tcPr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Weryfikowana będzie możliwość uzyskania dofinansowania na podstawie analizy wniosku i studium wykonalności/ biznes planu. W ramach tego kryterium analizowane będą aspekty finansowo-ekonomiczne projektu, jego dochodowość, etapy, kwalifikowalność VAT, harmonogram rzeczowo-finansowy, rodzaje i wysokość planowanych kosztów, analiza finansowa. </w:t>
            </w:r>
          </w:p>
          <w:p w:rsidR="00797B05" w:rsidRPr="005A3491" w:rsidRDefault="00797B05" w:rsidP="00C471AB">
            <w:pPr>
              <w:pStyle w:val="Style2"/>
              <w:shd w:val="clear" w:color="auto" w:fill="auto"/>
              <w:tabs>
                <w:tab w:val="left" w:pos="-220"/>
              </w:tabs>
              <w:spacing w:after="0" w:line="226" w:lineRule="exact"/>
              <w:ind w:left="65" w:firstLine="15"/>
              <w:rPr>
                <w:b w:val="0"/>
              </w:rPr>
            </w:pPr>
          </w:p>
          <w:p w:rsidR="00797B05" w:rsidRPr="005A3491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9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797B05" w:rsidRPr="00797B05" w:rsidTr="00D42224">
        <w:tc>
          <w:tcPr>
            <w:tcW w:w="637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  <w:vAlign w:val="center"/>
          </w:tcPr>
          <w:p w:rsidR="00797B05" w:rsidRPr="005A3491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Zgodność projektu z zasadą równości szans kobiet i mężczyzn</w:t>
            </w:r>
          </w:p>
          <w:p w:rsidR="00797B05" w:rsidRPr="005A3491" w:rsidRDefault="00797B05" w:rsidP="00C471AB">
            <w:pPr>
              <w:jc w:val="both"/>
              <w:rPr>
                <w:rFonts w:ascii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797B05" w:rsidRPr="005A3491" w:rsidRDefault="00797B05" w:rsidP="005A3491">
            <w:pPr>
              <w:pStyle w:val="Default"/>
              <w:spacing w:before="120" w:after="120"/>
              <w:ind w:firstLine="0"/>
              <w:jc w:val="both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5A3491">
              <w:rPr>
                <w:rFonts w:ascii="Arial" w:hAnsi="Arial" w:cs="Arial"/>
                <w:color w:val="auto"/>
                <w:sz w:val="18"/>
                <w:szCs w:val="18"/>
              </w:rPr>
              <w:t>Weryfikowane będzie, czy Beneficjent wykazał, że projekt będzie miał pozytywny lub neutralny wpływ na zasadę horyzontalną UE: promowanie równości szans kobiet i mężczyzn oraz niedyskryminacji, zgodnie z art. 7 Rozporządzenia Parlamentu Europejskiego i Rady (UE) nr 1303/2013 z dnia 17 grudnia 2013 r. oraz zgodność 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5529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797B05" w:rsidRPr="00797B05" w:rsidTr="00D42224">
        <w:tc>
          <w:tcPr>
            <w:tcW w:w="637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694" w:type="dxa"/>
            <w:vAlign w:val="center"/>
          </w:tcPr>
          <w:p w:rsidR="00797B05" w:rsidRPr="005A3491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5811" w:type="dxa"/>
            <w:vAlign w:val="center"/>
          </w:tcPr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Weryfikowane będzie, czy Wnioskodawca wykazał, że projekt będzie miał pozytywny wpływ na zasadę horyzontalną UE: promowanie równości szans i niedyskryminacji w tym dostępności dla osób z niepełnosprawnościami, zgodnie z art. 7 Rozporządzenia Parlamentu Europejskiego i Rady (UE) nr 1303/2013 z dnia 17 grudnia 2013 r. oraz zgodność z Wytycznymi w zakresie realizacji zasady równości szans i niedyskryminacji, w tym dostępności dla osób z niepełnosprawnościami oraz zasady równości szans kobiet i mężczyzn w ramach funduszy unijnych na lata 2014-2020. </w:t>
            </w:r>
          </w:p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Przez pozytywny wpływ należy rozumieć zapewnienie dostępności infrastruktury, transportu, towarów, usług, technologii i systemów informacyjno-komunikacyjnych oraz wszelkich innych produktów projektu (które nie zostały uznane za neutralne) dla wszystkich użytkowników, zgodnie ze </w:t>
            </w:r>
            <w:r w:rsidRPr="005A3491">
              <w:rPr>
                <w:rFonts w:ascii="Arial" w:hAnsi="Arial" w:cs="Arial"/>
                <w:b/>
                <w:bCs/>
                <w:sz w:val="18"/>
                <w:szCs w:val="18"/>
              </w:rPr>
              <w:t>standardami dostępności</w:t>
            </w:r>
            <w:r w:rsidRPr="005A3491">
              <w:rPr>
                <w:rFonts w:ascii="Arial" w:hAnsi="Arial" w:cs="Arial"/>
                <w:sz w:val="18"/>
                <w:szCs w:val="18"/>
              </w:rPr>
              <w:t xml:space="preserve">, stanowiącymi załącznik do Wytycznych w zakresie realizacji zasady równości szans i niedyskryminacji, w tym dostępności dla osób z niepełnosprawnościami oraz zasady równości szans kobiet i mężczyzn w ramach funduszy unijnych na lata 2014-2020. </w:t>
            </w:r>
          </w:p>
          <w:p w:rsidR="005A3491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Neutralność określonego produktu jako brak jakiegokolwiek wpływu na sytuację osób z niepełnosprawnościami, powinna być wyczerpująco wykazana przez wnioskodawcę. </w:t>
            </w:r>
          </w:p>
          <w:p w:rsidR="00797B05" w:rsidRPr="005A3491" w:rsidRDefault="005A3491" w:rsidP="005A3491">
            <w:pPr>
              <w:pStyle w:val="Default"/>
              <w:spacing w:before="120" w:after="120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lastRenderedPageBreak/>
              <w:t>W przypadku nowo tworzonych i istotnie modernizowanych zasobów cyfrowych i infrastruktury (architektonicznej i transportowej) wytworzonych w ramach projektu, należy wykazać, iż zostały one zaprojektowane zgodnie z koncepcją uniwersalnego projektowania lub w przypadku braku możliwości jej zastosowania wykorzystano mechanizm racjonalnych usprawnień, zgodnie z warunkami określonymi w Wytycznych w zakresie realizacji zasady równości szans i niedyskryminacji, w tym dostępności dla osób z niepełnosprawnościami oraz zasady równości.</w:t>
            </w:r>
          </w:p>
        </w:tc>
        <w:tc>
          <w:tcPr>
            <w:tcW w:w="5529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  <w:r w:rsidRPr="00797B05">
              <w:rPr>
                <w:rFonts w:ascii="Arial" w:hAnsi="Arial" w:cs="Arial"/>
                <w:strike/>
                <w:sz w:val="18"/>
                <w:szCs w:val="18"/>
                <w:lang w:eastAsia="en-US"/>
              </w:rPr>
              <w:t>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797B05" w:rsidRPr="00797B05" w:rsidTr="00D42224">
        <w:tc>
          <w:tcPr>
            <w:tcW w:w="637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694" w:type="dxa"/>
            <w:vAlign w:val="center"/>
          </w:tcPr>
          <w:p w:rsidR="00797B05" w:rsidRPr="005A3491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Zamówienia publiczne i konkurencyjność</w:t>
            </w:r>
          </w:p>
          <w:p w:rsidR="00797B05" w:rsidRPr="005A3491" w:rsidRDefault="00797B05" w:rsidP="00C471AB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797B05" w:rsidRPr="005A3491" w:rsidRDefault="005A3491" w:rsidP="00C471A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0DCE">
              <w:rPr>
                <w:rFonts w:ascii="Arial" w:hAnsi="Arial" w:cs="Arial"/>
                <w:sz w:val="18"/>
                <w:szCs w:val="18"/>
              </w:rPr>
              <w:t>Weryfikowana będzie zgodność założeń projektu z przepisami ustawy prawo zamówień publicznych oraz zasadą konkurencyjności zgodnie z Wytycznymi</w:t>
            </w:r>
            <w:r w:rsidRPr="005A3491">
              <w:rPr>
                <w:rFonts w:ascii="Arial" w:hAnsi="Arial" w:cs="Arial"/>
                <w:sz w:val="18"/>
                <w:szCs w:val="18"/>
              </w:rPr>
              <w:t xml:space="preserve"> w zakresie kwalifikowalności wydatków w ramach Europejskiego Funduszu Rozwoju Regionalnego, Europejskiego Funduszu Społecznego oraz Funduszu Spójności na lata 2014-2020.</w:t>
            </w:r>
          </w:p>
        </w:tc>
        <w:tc>
          <w:tcPr>
            <w:tcW w:w="5529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797B05" w:rsidRPr="00797B05" w:rsidTr="00D42224">
        <w:tc>
          <w:tcPr>
            <w:tcW w:w="637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694" w:type="dxa"/>
            <w:vAlign w:val="center"/>
          </w:tcPr>
          <w:p w:rsidR="00797B05" w:rsidRPr="005A3491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Pomoc publiczna i pomoc de minimis</w:t>
            </w:r>
          </w:p>
          <w:p w:rsidR="00797B05" w:rsidRPr="005A3491" w:rsidRDefault="00797B05" w:rsidP="00C471AB">
            <w:pPr>
              <w:pStyle w:val="Default"/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797B05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Weryfikowana będzie możliwość występowania pomocy publicznej/pomocy de minimis oraz zgodność zapisów we wniosku o dofinansowanie projektu z zasadami pomocy publicznej/ pomocy de minimis w odniesieniu do wnioskodawcy, form wsparcia, wydatków, jak również oceniana będzie możliwość udzielenia w ramach projektu pomocy publicznej/ pomocy de minimis, uwzględniając reguły ogólne jej przyznawania oraz warunki jej dopuszczalności w danym typie projektu.</w:t>
            </w:r>
          </w:p>
        </w:tc>
        <w:tc>
          <w:tcPr>
            <w:tcW w:w="5529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trike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797B05" w:rsidRPr="00797B05" w:rsidTr="00D42224">
        <w:tc>
          <w:tcPr>
            <w:tcW w:w="637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694" w:type="dxa"/>
            <w:vAlign w:val="center"/>
          </w:tcPr>
          <w:p w:rsidR="00797B05" w:rsidRPr="005A3491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Wykonalność techniczna</w:t>
            </w:r>
          </w:p>
        </w:tc>
        <w:tc>
          <w:tcPr>
            <w:tcW w:w="5811" w:type="dxa"/>
            <w:vAlign w:val="center"/>
          </w:tcPr>
          <w:p w:rsidR="00797B05" w:rsidRPr="005A3491" w:rsidRDefault="005A3491" w:rsidP="005A3491">
            <w:pPr>
              <w:pStyle w:val="Default"/>
              <w:ind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Weryfikowana będzie wykonalność prawna i techniczna projektu (opis niezbędnych praw, pozwoleń, możliwości ich uzyskania), potrzeba jego realizacji i cele (z uwzględnieniem potrzeb interesariuszy), optymalny wariant i sposób jego wyboru, sposób realizacji (racjonalność, wykonalność zaplanowanego harmonogramu, uwzględnienie czynników ryzyka). </w:t>
            </w:r>
          </w:p>
        </w:tc>
        <w:tc>
          <w:tcPr>
            <w:tcW w:w="5529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797B05" w:rsidRPr="00797B05" w:rsidTr="00D4222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637" w:type="dxa"/>
            <w:vMerge w:val="restart"/>
            <w:vAlign w:val="center"/>
          </w:tcPr>
          <w:p w:rsidR="00797B05" w:rsidRPr="00267A29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267A29">
              <w:rPr>
                <w:rFonts w:ascii="Arial" w:hAnsi="Arial" w:cs="Arial"/>
                <w:iCs/>
                <w:sz w:val="18"/>
                <w:szCs w:val="18"/>
              </w:rPr>
              <w:t>7.</w:t>
            </w:r>
          </w:p>
        </w:tc>
        <w:tc>
          <w:tcPr>
            <w:tcW w:w="2694" w:type="dxa"/>
            <w:vMerge w:val="restart"/>
            <w:vAlign w:val="center"/>
          </w:tcPr>
          <w:p w:rsidR="00797B05" w:rsidRPr="005A3491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Trwałość projektu</w:t>
            </w:r>
          </w:p>
          <w:p w:rsidR="00797B05" w:rsidRPr="005A3491" w:rsidRDefault="00797B05" w:rsidP="00C471AB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797B05" w:rsidRPr="005A3491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5529" w:type="dxa"/>
            <w:vMerge w:val="restart"/>
            <w:vAlign w:val="center"/>
          </w:tcPr>
          <w:p w:rsidR="00797B05" w:rsidRPr="00267A29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67A29">
              <w:rPr>
                <w:rFonts w:ascii="Arial" w:hAnsi="Arial" w:cs="Arial"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797B05" w:rsidRPr="00267A29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67A29">
              <w:rPr>
                <w:rFonts w:ascii="Arial" w:hAnsi="Arial" w:cs="Arial"/>
                <w:sz w:val="18"/>
                <w:szCs w:val="18"/>
                <w:lang w:eastAsia="en-US"/>
              </w:rPr>
              <w:t>Kryterium zerojedynkowe.</w:t>
            </w:r>
          </w:p>
          <w:p w:rsidR="00797B05" w:rsidRPr="00267A29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67A29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</w:t>
            </w:r>
          </w:p>
          <w:p w:rsidR="00797B05" w:rsidRPr="00267A29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67A29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797B05" w:rsidRPr="00797B05" w:rsidTr="00D4222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Merge/>
            <w:vAlign w:val="center"/>
          </w:tcPr>
          <w:p w:rsidR="00797B05" w:rsidRPr="00797B05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97B05" w:rsidRPr="005A3491" w:rsidRDefault="00797B05" w:rsidP="00C471A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797B05" w:rsidRPr="005A3491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5529" w:type="dxa"/>
            <w:vMerge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797B05" w:rsidRPr="00797B05" w:rsidTr="00D4222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637" w:type="dxa"/>
            <w:vMerge/>
            <w:vAlign w:val="center"/>
          </w:tcPr>
          <w:p w:rsidR="00797B05" w:rsidRPr="00797B05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97B05" w:rsidRPr="005A3491" w:rsidRDefault="00797B05" w:rsidP="00C471A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797B05" w:rsidRPr="005A3491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5529" w:type="dxa"/>
            <w:vMerge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797B05" w:rsidRPr="00797B05" w:rsidTr="00D4222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637" w:type="dxa"/>
            <w:vMerge/>
            <w:vAlign w:val="center"/>
          </w:tcPr>
          <w:p w:rsidR="00797B05" w:rsidRPr="00797B05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97B05" w:rsidRPr="005A3491" w:rsidRDefault="00797B05" w:rsidP="00C471A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797B05" w:rsidRPr="005A3491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5529" w:type="dxa"/>
            <w:vMerge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</w:tc>
      </w:tr>
      <w:tr w:rsidR="00797B05" w:rsidRPr="00797B05" w:rsidTr="00D4222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Align w:val="center"/>
          </w:tcPr>
          <w:p w:rsidR="00797B05" w:rsidRPr="00797B05" w:rsidRDefault="00797B05" w:rsidP="00C471A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797B05">
              <w:rPr>
                <w:rFonts w:ascii="Arial" w:hAnsi="Arial" w:cs="Arial"/>
                <w:iCs/>
                <w:sz w:val="18"/>
                <w:szCs w:val="18"/>
              </w:rPr>
              <w:t>8.</w:t>
            </w:r>
          </w:p>
        </w:tc>
        <w:tc>
          <w:tcPr>
            <w:tcW w:w="2694" w:type="dxa"/>
            <w:vAlign w:val="center"/>
          </w:tcPr>
          <w:p w:rsidR="00797B05" w:rsidRPr="005A3491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>Wskaźniki</w:t>
            </w:r>
          </w:p>
        </w:tc>
        <w:tc>
          <w:tcPr>
            <w:tcW w:w="5811" w:type="dxa"/>
            <w:vAlign w:val="center"/>
          </w:tcPr>
          <w:p w:rsidR="00797B05" w:rsidRPr="005A3491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3491">
              <w:rPr>
                <w:rFonts w:ascii="Arial" w:hAnsi="Arial" w:cs="Arial"/>
                <w:sz w:val="18"/>
                <w:szCs w:val="18"/>
              </w:rPr>
              <w:t xml:space="preserve">Weryfikowana będzie poprawność merytoryczna wskaźników, (tj. czy wskaźniki zostały właściwie dobrane i zaprezentowane, </w:t>
            </w:r>
            <w:r w:rsidRPr="005A349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5A3491">
              <w:rPr>
                <w:rStyle w:val="CharStyle15"/>
                <w:color w:val="000000"/>
                <w:sz w:val="18"/>
                <w:szCs w:val="18"/>
              </w:rPr>
              <w:t>zy zaplanowane wartości wskaźników są możliwe do osiągnięcia i czy przedstawiono założony sposób ich monitorowania)</w:t>
            </w:r>
            <w:r w:rsidRPr="005A349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529" w:type="dxa"/>
            <w:vAlign w:val="center"/>
          </w:tcPr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</w:rPr>
              <w:t>Kryterium obligatoryjne – spełnienie kryterium jest niezbędne do przyznania dofinansowania.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Kryterium  zerojedynkowe.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Ocena spełniania kryteriów  polega na przypisaniu im wartości logicznych „tak” lub „nie”. 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</w:tbl>
    <w:p w:rsidR="00797B05" w:rsidRDefault="00797B05" w:rsidP="00797B05">
      <w:pPr>
        <w:jc w:val="both"/>
        <w:rPr>
          <w:bCs/>
          <w:color w:val="000000"/>
          <w:kern w:val="24"/>
          <w:sz w:val="20"/>
          <w:szCs w:val="20"/>
        </w:rPr>
      </w:pPr>
    </w:p>
    <w:tbl>
      <w:tblPr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4"/>
        <w:gridCol w:w="6378"/>
        <w:gridCol w:w="4962"/>
      </w:tblGrid>
      <w:tr w:rsidR="00797B05" w:rsidRPr="00797B05" w:rsidTr="00D42224">
        <w:tc>
          <w:tcPr>
            <w:tcW w:w="14743" w:type="dxa"/>
            <w:gridSpan w:val="4"/>
            <w:shd w:val="clear" w:color="auto" w:fill="99CC00"/>
            <w:vAlign w:val="center"/>
          </w:tcPr>
          <w:p w:rsidR="00797B05" w:rsidRPr="00797B05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sz w:val="18"/>
                <w:szCs w:val="18"/>
              </w:rPr>
              <w:t>KRYTERIA MERYTORYCZNE SPECYFICZNE (OBLIGATORYJNE)*</w:t>
            </w:r>
          </w:p>
        </w:tc>
      </w:tr>
      <w:tr w:rsidR="00797B05" w:rsidRPr="00797B05" w:rsidTr="00D42224">
        <w:trPr>
          <w:trHeight w:val="244"/>
        </w:trPr>
        <w:tc>
          <w:tcPr>
            <w:tcW w:w="709" w:type="dxa"/>
            <w:vMerge w:val="restart"/>
            <w:shd w:val="clear" w:color="auto" w:fill="99CC00"/>
            <w:vAlign w:val="center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99CC00"/>
            <w:vAlign w:val="center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962" w:type="dxa"/>
            <w:vMerge w:val="restart"/>
            <w:shd w:val="clear" w:color="auto" w:fill="99CC00"/>
            <w:vAlign w:val="center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797B05" w:rsidRPr="00797B05" w:rsidTr="00D42224">
        <w:trPr>
          <w:trHeight w:val="244"/>
        </w:trPr>
        <w:tc>
          <w:tcPr>
            <w:tcW w:w="709" w:type="dxa"/>
            <w:vMerge/>
            <w:shd w:val="clear" w:color="auto" w:fill="99CC00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99CC00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2" w:type="dxa"/>
            <w:vMerge/>
            <w:shd w:val="clear" w:color="auto" w:fill="99CC00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7B05" w:rsidRPr="00797B05" w:rsidTr="00D42224">
        <w:tc>
          <w:tcPr>
            <w:tcW w:w="709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4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Wpływ na realizację procesów w przedsiębiorstwie</w:t>
            </w:r>
          </w:p>
        </w:tc>
        <w:tc>
          <w:tcPr>
            <w:tcW w:w="6378" w:type="dxa"/>
            <w:vAlign w:val="center"/>
          </w:tcPr>
          <w:p w:rsidR="00797B05" w:rsidRPr="00797B05" w:rsidRDefault="00797B05" w:rsidP="00C471AB">
            <w:pPr>
              <w:keepNext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Wnioskodawca w studium wykonalności/ biznes planie opisał istniejące w przedsiębiorstwie procesy i uzasadnił wpływ projektu na usprawnienie co najmniej jednego procesu w przedsiębiorstwie jak np.: produkcja, marketing, logistyka, zarządzanie relacjami z klientami, zarządzanie jakością, kontrola, BHP, obsługa posprzedażowa, zarządzanie kadrami, zaopatrzenie, itp. </w:t>
            </w:r>
          </w:p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Jednocześnie  Wnioskodawca wykazał w studium wykonalności/ biznes planie wpływ usprawnienia procesu/ procesów na funkcjonowanie przedsiębiorstwa, np.: zmniejszenie kosztów, wzrost efektywności pracy, zwiększenie przychodów, zwiększenie eksportu, poprawa jakości produktów/ usług, zmniejszenie czasochłonności procesów,  </w:t>
            </w:r>
          </w:p>
        </w:tc>
        <w:tc>
          <w:tcPr>
            <w:tcW w:w="4962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zerojedynkowe.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  <w:p w:rsidR="00797B05" w:rsidRPr="00797B05" w:rsidRDefault="00797B05" w:rsidP="00C471AB">
            <w:pPr>
              <w:tabs>
                <w:tab w:val="left" w:pos="317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7B05" w:rsidRPr="00797B05" w:rsidTr="00D42224">
        <w:tc>
          <w:tcPr>
            <w:tcW w:w="709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4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Podniesienie kompetencji pracowników</w:t>
            </w:r>
          </w:p>
        </w:tc>
        <w:tc>
          <w:tcPr>
            <w:tcW w:w="6378" w:type="dxa"/>
            <w:vAlign w:val="center"/>
          </w:tcPr>
          <w:p w:rsidR="00797B05" w:rsidRPr="00797B05" w:rsidRDefault="00797B05" w:rsidP="00C471AB">
            <w:pPr>
              <w:keepNext/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Wnioskodawca założył w studium wykonalności/ biznes planie przeszkolenie (w zakresie wykorzystania nowego rozwiązania TIK) w ramach projektu wszystkich pracowników zaangażowanych w realizację procesu/ procesów podlegającemu/podlegającym zmianom w wyniku realizacji projektu.</w:t>
            </w:r>
          </w:p>
        </w:tc>
        <w:tc>
          <w:tcPr>
            <w:tcW w:w="4962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obligatoryjne – spełnienie kryterium jest niezbędne do przyznania dofinansowania.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Kryterium zerojedynkowe.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Ocena spełniania kryteriów  polega na przypisaniu im wartości logicznych „tak” lub „nie”.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</w:rPr>
              <w:t>Wnioskodawca może uzupełnić lub poprawić projekt w części dotyczącej spełniania kryterium w zakresie określonym w regulaminie konkursu</w:t>
            </w:r>
          </w:p>
        </w:tc>
      </w:tr>
    </w:tbl>
    <w:p w:rsidR="00797B05" w:rsidRPr="00797B05" w:rsidRDefault="00797B05" w:rsidP="00C471AB">
      <w:pPr>
        <w:jc w:val="both"/>
        <w:rPr>
          <w:rFonts w:ascii="Arial" w:hAnsi="Arial" w:cs="Arial"/>
          <w:i/>
          <w:sz w:val="16"/>
          <w:szCs w:val="16"/>
        </w:rPr>
      </w:pPr>
      <w:r w:rsidRPr="00797B05">
        <w:rPr>
          <w:rFonts w:ascii="Arial" w:hAnsi="Arial" w:cs="Arial"/>
          <w:i/>
          <w:sz w:val="16"/>
          <w:szCs w:val="16"/>
        </w:rPr>
        <w:t>* Projekty niespełniające kryteriów merytorycznych ogólnych i kryteriów merytorycznych specyficznych obligatoryjnych są odrzucane i nie podlegają dalszej ocenie.</w:t>
      </w:r>
    </w:p>
    <w:p w:rsidR="00797B05" w:rsidRDefault="00797B05" w:rsidP="00C471AB">
      <w:pPr>
        <w:jc w:val="both"/>
        <w:rPr>
          <w:i/>
        </w:rPr>
      </w:pPr>
    </w:p>
    <w:p w:rsidR="00797B05" w:rsidRDefault="00797B05" w:rsidP="00C471AB">
      <w:pPr>
        <w:jc w:val="both"/>
        <w:rPr>
          <w:i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913"/>
        <w:gridCol w:w="6379"/>
        <w:gridCol w:w="4865"/>
      </w:tblGrid>
      <w:tr w:rsidR="00797B05" w:rsidRPr="00797B05" w:rsidTr="00D42224">
        <w:tc>
          <w:tcPr>
            <w:tcW w:w="14709" w:type="dxa"/>
            <w:gridSpan w:val="4"/>
            <w:shd w:val="clear" w:color="auto" w:fill="99CC00"/>
            <w:vAlign w:val="center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KRYTERIA MERYTORYCZNE (PUNKTOWE)</w:t>
            </w:r>
          </w:p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(wymagane minimum 50%)</w:t>
            </w:r>
          </w:p>
        </w:tc>
      </w:tr>
      <w:tr w:rsidR="00797B05" w:rsidRPr="00797B05" w:rsidTr="00D42224">
        <w:tc>
          <w:tcPr>
            <w:tcW w:w="552" w:type="dxa"/>
            <w:shd w:val="clear" w:color="auto" w:fill="99CC00"/>
            <w:vAlign w:val="center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913" w:type="dxa"/>
            <w:shd w:val="clear" w:color="auto" w:fill="99CC00"/>
            <w:vAlign w:val="center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79" w:type="dxa"/>
            <w:shd w:val="clear" w:color="auto" w:fill="99CC00"/>
            <w:vAlign w:val="center"/>
          </w:tcPr>
          <w:p w:rsidR="00797B05" w:rsidRPr="00C471AB" w:rsidRDefault="00797B05" w:rsidP="00C471AB">
            <w:pPr>
              <w:ind w:firstLine="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4865" w:type="dxa"/>
            <w:shd w:val="clear" w:color="auto" w:fill="99CC00"/>
            <w:vAlign w:val="center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797B05" w:rsidRPr="00797B05" w:rsidTr="00D42224">
        <w:tc>
          <w:tcPr>
            <w:tcW w:w="552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13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Projekt wykazuje wpływ na </w:t>
            </w:r>
            <w:r w:rsidRPr="00797B05">
              <w:rPr>
                <w:rFonts w:ascii="Arial" w:hAnsi="Arial" w:cs="Arial"/>
                <w:sz w:val="18"/>
                <w:szCs w:val="18"/>
              </w:rPr>
              <w:lastRenderedPageBreak/>
              <w:t>rozwój co najmniej jednej inteligentnej specjalizacji województwa warmińsko-mazurskiego</w:t>
            </w:r>
          </w:p>
        </w:tc>
        <w:tc>
          <w:tcPr>
            <w:tcW w:w="6379" w:type="dxa"/>
            <w:vAlign w:val="center"/>
          </w:tcPr>
          <w:p w:rsidR="003032AC" w:rsidRPr="00FE0DCE" w:rsidRDefault="003032AC" w:rsidP="003032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0DC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Przedmiotem oceny jest opisany w studium wykonalności/ biznes planie </w:t>
            </w:r>
            <w:r w:rsidRPr="00FE0DC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zakładany wpływ planowanego przedsięwzięcia na co najmniej jedną inteligentną specjalizację województwa warmińsko-mazurskiego zidentyfikowaną </w:t>
            </w:r>
            <w:r w:rsidRPr="00FE0DCE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w Strategii rozwoju społeczno-gospodarczego województwa warmińsko-mazurskiego do roku 2025</w:t>
            </w:r>
            <w:r w:rsidRPr="00FE0DC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Wpływ na rozwój inteligentnych specjalizacji rozumiany jest jako: </w:t>
            </w:r>
          </w:p>
          <w:p w:rsidR="003032AC" w:rsidRPr="00FE0DCE" w:rsidRDefault="003032AC" w:rsidP="003032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Pr="00FE0DC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wpływ na eliminowanie negatywnego wpływu zagrożeń i/lub wpływ na wykorzystanie szans zdiagnozowanych w analizie SWOT dla danej inteligentnej specjalizacji – 1 pkt </w:t>
            </w:r>
          </w:p>
          <w:p w:rsidR="003032AC" w:rsidRPr="00FE0DCE" w:rsidRDefault="003032AC" w:rsidP="003032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Pr="00FE0DC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wpływ na wzmocnienie silnych stron i/lub eliminację słabych stron zdiagnozowanych w analizie SWOT dla danej inteligentnej specjalizacji</w:t>
            </w:r>
            <w:r w:rsidRPr="00FE0DCE">
              <w:rPr>
                <w:rFonts w:ascii="Arial" w:hAnsi="Arial" w:cs="Arial"/>
                <w:color w:val="000000"/>
                <w:sz w:val="13"/>
                <w:szCs w:val="13"/>
              </w:rPr>
              <w:t xml:space="preserve">86 </w:t>
            </w:r>
            <w:r w:rsidRPr="00FE0DC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– 1 pkt </w:t>
            </w:r>
          </w:p>
          <w:p w:rsidR="003032AC" w:rsidRPr="00FE0DCE" w:rsidRDefault="003032AC" w:rsidP="003032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Pr="00FE0DC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dyfuzję wyników projektu na więcej niż jeden podmiot działający w obszarze danej inteligentnej specjalizacji – 1 pkt </w:t>
            </w:r>
          </w:p>
          <w:p w:rsidR="003032AC" w:rsidRPr="00FE0DCE" w:rsidRDefault="003032AC" w:rsidP="003032AC">
            <w:pPr>
              <w:pStyle w:val="Default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E0DCE">
              <w:rPr>
                <w:sz w:val="20"/>
                <w:szCs w:val="20"/>
              </w:rPr>
              <w:t xml:space="preserve"> stworzenie w wyniku projektu możliwości eksportowych w ramach danej specjalizacji i/lub generowanie potencjalnego wzrostu współpracy w europejskich łańcuchach wartości</w:t>
            </w:r>
            <w:r w:rsidRPr="00FE0DCE">
              <w:rPr>
                <w:rFonts w:ascii="Arial" w:hAnsi="Arial" w:cs="Arial"/>
                <w:sz w:val="13"/>
                <w:szCs w:val="13"/>
              </w:rPr>
              <w:t xml:space="preserve">87 </w:t>
            </w:r>
            <w:r w:rsidRPr="00FE0DCE">
              <w:rPr>
                <w:sz w:val="20"/>
                <w:szCs w:val="20"/>
              </w:rPr>
              <w:t xml:space="preserve">– 1 pkt </w:t>
            </w:r>
          </w:p>
          <w:p w:rsidR="003032AC" w:rsidRPr="00FE0DCE" w:rsidRDefault="003032AC" w:rsidP="003032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Pr="00FE0DC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wpływ na kreowanie współpracy pomiędzy środowiskiem naukowym, biznesowym, otoczeniem biznesu, administracją w obrębie co najmniej jednej specjalizacji w wyniku realizacji projektu – 1 pkt </w:t>
            </w:r>
          </w:p>
          <w:p w:rsidR="003032AC" w:rsidRDefault="003032AC" w:rsidP="003032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E0DC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Punkty sumują się. </w:t>
            </w:r>
          </w:p>
          <w:p w:rsidR="00797B05" w:rsidRPr="00797B05" w:rsidRDefault="00797B05" w:rsidP="00C471AB">
            <w:pPr>
              <w:suppressAutoHyphens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  <w:vAlign w:val="center"/>
          </w:tcPr>
          <w:p w:rsidR="00797B05" w:rsidRPr="00797B05" w:rsidRDefault="00797B05" w:rsidP="00C471A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lastRenderedPageBreak/>
              <w:t xml:space="preserve">Kryterium punktowe – przyznanie 0 punktów nie </w:t>
            </w:r>
            <w:r w:rsidRPr="00797B05">
              <w:rPr>
                <w:rFonts w:ascii="Arial" w:hAnsi="Arial" w:cs="Arial"/>
                <w:sz w:val="18"/>
                <w:szCs w:val="18"/>
              </w:rPr>
              <w:lastRenderedPageBreak/>
              <w:t>dyskwalifikuje z możliwości uzyskania dofinansowania.</w:t>
            </w:r>
          </w:p>
          <w:p w:rsidR="00797B05" w:rsidRPr="00797B05" w:rsidRDefault="00797B05" w:rsidP="00C471A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7B05" w:rsidRPr="00797B05" w:rsidTr="00D42224">
        <w:tc>
          <w:tcPr>
            <w:tcW w:w="552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913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797B05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797B0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79" w:type="dxa"/>
            <w:vAlign w:val="center"/>
          </w:tcPr>
          <w:p w:rsidR="00797B05" w:rsidRPr="00797B05" w:rsidRDefault="00797B05" w:rsidP="00C471AB">
            <w:pPr>
              <w:ind w:left="3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=Ocenie podlega opisana przez Wnioskodawcę we wniosku o dofinansowanie zgodność projektu z kierunkami działań wynikającymi ze</w:t>
            </w:r>
            <w:r w:rsidRPr="00797B05">
              <w:rPr>
                <w:rFonts w:ascii="Arial" w:hAnsi="Arial" w:cs="Arial"/>
                <w:i/>
                <w:sz w:val="18"/>
                <w:szCs w:val="18"/>
              </w:rPr>
              <w:t xml:space="preserve"> Strategii rozwoju społeczno-gospodarczego województwa warmińsko-mazurskiego do roku 2025 </w:t>
            </w:r>
            <w:r w:rsidRPr="00797B05">
              <w:rPr>
                <w:rFonts w:ascii="Arial" w:hAnsi="Arial" w:cs="Arial"/>
                <w:sz w:val="18"/>
                <w:szCs w:val="18"/>
              </w:rPr>
              <w:t>(z dnia 25 czerwca 2013 r.).</w:t>
            </w:r>
            <w:r w:rsidRPr="00797B05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797B05">
              <w:rPr>
                <w:rFonts w:ascii="Arial" w:hAnsi="Arial" w:cs="Arial"/>
                <w:sz w:val="18"/>
                <w:szCs w:val="18"/>
              </w:rPr>
              <w:t>W</w:t>
            </w:r>
            <w:r w:rsidRPr="00797B05">
              <w:rPr>
                <w:rFonts w:ascii="Arial" w:hAnsi="Arial" w:cs="Arial"/>
                <w:bCs/>
                <w:sz w:val="18"/>
                <w:szCs w:val="18"/>
              </w:rPr>
              <w:t xml:space="preserve"> ramach kryterium można przyznać następujące punkty:</w:t>
            </w:r>
          </w:p>
          <w:p w:rsidR="00797B05" w:rsidRPr="00797B05" w:rsidRDefault="00797B05" w:rsidP="00C471AB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wyłącznie z jednym kierunkiem działań opisanym w </w:t>
            </w:r>
            <w:r w:rsidRPr="00797B05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797B0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7B05">
              <w:rPr>
                <w:rFonts w:ascii="Arial" w:hAnsi="Arial" w:cs="Arial"/>
                <w:i/>
                <w:sz w:val="18"/>
                <w:szCs w:val="18"/>
              </w:rPr>
              <w:t>– 0 pkt</w:t>
            </w:r>
          </w:p>
          <w:p w:rsidR="00797B05" w:rsidRPr="00797B05" w:rsidRDefault="00797B05" w:rsidP="00C471AB">
            <w:pPr>
              <w:suppressAutoHyphens/>
              <w:ind w:left="33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</w:rPr>
              <w:t xml:space="preserve">- Wnioskodawca wykazał i uzasadnił zgodność projektu z więcej niż jednym kierunkiem działań opisanym w </w:t>
            </w:r>
            <w:r w:rsidRPr="00797B05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797B0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7B05">
              <w:rPr>
                <w:rFonts w:ascii="Arial" w:hAnsi="Arial" w:cs="Arial"/>
                <w:i/>
                <w:sz w:val="18"/>
                <w:szCs w:val="18"/>
              </w:rPr>
              <w:t>– 3 pkt</w:t>
            </w:r>
          </w:p>
          <w:p w:rsidR="00797B05" w:rsidRPr="00797B05" w:rsidRDefault="00797B05" w:rsidP="00C471AB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65" w:type="dxa"/>
            <w:vAlign w:val="center"/>
          </w:tcPr>
          <w:p w:rsidR="00797B05" w:rsidRPr="00797B05" w:rsidRDefault="00797B05" w:rsidP="00C471A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797B05" w:rsidRPr="00797B05" w:rsidRDefault="00797B05" w:rsidP="00C471A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</w:tc>
      </w:tr>
      <w:tr w:rsidR="00797B05" w:rsidRPr="00797B05" w:rsidTr="00D42224">
        <w:tc>
          <w:tcPr>
            <w:tcW w:w="552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13" w:type="dxa"/>
            <w:vAlign w:val="center"/>
          </w:tcPr>
          <w:p w:rsidR="00797B05" w:rsidRPr="00797B05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97B05">
              <w:rPr>
                <w:rFonts w:ascii="Arial" w:hAnsi="Arial" w:cs="Arial"/>
                <w:bCs/>
                <w:color w:val="auto"/>
                <w:sz w:val="18"/>
                <w:szCs w:val="18"/>
              </w:rPr>
              <w:t>Rodzaj procesów objętych projektem</w:t>
            </w:r>
          </w:p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9" w:type="dxa"/>
            <w:vAlign w:val="center"/>
          </w:tcPr>
          <w:p w:rsidR="00797B05" w:rsidRPr="00797B05" w:rsidRDefault="00797B05" w:rsidP="00C471AB">
            <w:pPr>
              <w:pStyle w:val="Default"/>
              <w:ind w:firstLine="0"/>
              <w:jc w:val="both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797B05">
              <w:rPr>
                <w:rFonts w:ascii="Arial" w:hAnsi="Arial" w:cs="Arial"/>
                <w:bCs/>
                <w:color w:val="auto"/>
                <w:sz w:val="18"/>
                <w:szCs w:val="18"/>
              </w:rPr>
              <w:t>Ocenie podlega obszar działalności przedsiębiorstwa objęty planowanymi w ramach projektu działaniami:</w:t>
            </w:r>
          </w:p>
          <w:p w:rsidR="00797B05" w:rsidRPr="00797B05" w:rsidRDefault="00797B05" w:rsidP="00C471AB">
            <w:pPr>
              <w:pStyle w:val="Default"/>
              <w:numPr>
                <w:ilvl w:val="0"/>
                <w:numId w:val="37"/>
              </w:numPr>
              <w:ind w:left="221" w:hanging="221"/>
              <w:jc w:val="both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Projekt otrzymuje 0 pkt, jeżeli dotyczy wyłącznie niżej wymienionych obszarów: 1) działania marketingowe (E-Marketing); 2) Public Relations (E-PR); 3) automatyzacja prac biurowych (OA - Office Automation); 4) przygotowanie publikacji (DTP - Desktop Publishing); 5)  wykorzystanie elektronicznych narzędzi komunikacji – poczta elektroniczna, komunikatory internetowe</w:t>
            </w:r>
            <w:r w:rsidRPr="00797B05" w:rsidDel="00A74F11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:rsidR="00797B05" w:rsidRPr="00797B05" w:rsidRDefault="00797B05" w:rsidP="00C471AB">
            <w:pPr>
              <w:pStyle w:val="Default"/>
              <w:numPr>
                <w:ilvl w:val="0"/>
                <w:numId w:val="37"/>
              </w:numPr>
              <w:ind w:left="363" w:hanging="284"/>
              <w:jc w:val="both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Projekt otrzymuje 3 pkt jeżeli dotyczy co najmniej jednego z niżej </w:t>
            </w:r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wymienionych obszarów: 1), telekonferencje itp. (E-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Communication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); 2) zarządzanie relacjami z klientami (E-CRM); zarządzanie dokumentami (EDM -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Document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 Management); 3) wspomaganie zarządzania wiedzą (EKM -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Konowledge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 Management); 4) wspomaganie kształcenia i podnoszenia kwalifikacji (E-Learning); 5) wsparcie i automatyzacja pracy grupowej (EGA -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Groupware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 Automation); 6) zdalne usługi dostarczania oprogramowania, platform teleinformatycznych (ASP – Application Service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Providing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, PSP – Platform Service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Providing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; 7) strony internetowe</w:t>
            </w:r>
          </w:p>
          <w:p w:rsidR="00797B05" w:rsidRPr="00797B05" w:rsidRDefault="00797B05" w:rsidP="00C471AB">
            <w:pPr>
              <w:pStyle w:val="Default"/>
              <w:numPr>
                <w:ilvl w:val="0"/>
                <w:numId w:val="37"/>
              </w:numPr>
              <w:ind w:left="363" w:hanging="284"/>
              <w:jc w:val="both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Projekt otrzymuje 6 pkt jeżeli dotyczy co najmniej jednego z niżej wymienionych obszarów: 1) elektroniczna integracja i zarządzanie działaniami związanymi z procesem zamówień i zaopatrzenia (E-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Procurement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): automatyzacja procesu zakupowego (obejmuje cały proces zaopatrzeniowy w całej organizacji i na wszystkich jej poziomach; obieg dokumentów, wykorzystywanie e-podpisu, e-faktura odbywa się drogą elektroniczną); kontrola zakupów (prowadzenie centralnej koordynacji planowania, budżetowania oraz monitorowania procesu zakupów); standaryzacja asortymentu i E-SCM (zarządzanie łańcuchem dostaw); 2) zarządzanie projektami (EPM – Project Management); 3) zarządzanie zasobami ludzkimi (EHR)</w:t>
            </w:r>
          </w:p>
          <w:p w:rsidR="00797B05" w:rsidRPr="00797B05" w:rsidRDefault="00797B05" w:rsidP="00C471AB">
            <w:pPr>
              <w:pStyle w:val="Default"/>
              <w:numPr>
                <w:ilvl w:val="0"/>
                <w:numId w:val="37"/>
              </w:numPr>
              <w:ind w:left="363" w:hanging="284"/>
              <w:jc w:val="both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Projekt otrzymuje 9 pkt jeżeli dotyczy co najmniej jednego z niżej wymienionych obszarów: 1) procesy wymiany produktów i usług pomiędzy dostawcami a odbiorcami, sprzedaż i kupowanie towarów i usług, przyjmowanie i potwierdzanie zamówień oraz obsługa płatności bezgotówkowych (E-Commerce); 2) elektroniczna wymiana danych, informacji, dokumentów (EDI –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Electronic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 Data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Interchange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); 3) komputerowo wspomagane projektowanie i produkcja (CAD/CAM/CAE -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Computer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Aided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 Design/Manufacturing/Engineering) </w:t>
            </w:r>
          </w:p>
          <w:p w:rsidR="00797B05" w:rsidRPr="00797B05" w:rsidRDefault="00797B05" w:rsidP="00C471AB">
            <w:pPr>
              <w:pStyle w:val="Default"/>
              <w:numPr>
                <w:ilvl w:val="0"/>
                <w:numId w:val="37"/>
              </w:numPr>
              <w:ind w:left="363" w:hanging="284"/>
              <w:jc w:val="both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Projekt otrzymuje 15 pkt jeżeli dotyczy co najmniej jednego z niżej wymienionych obszarów 1) systemy informacji i analizy zarządczej (BI - Business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Intelligence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); 2) zintegrowane zarządzanie zasobami przedsiębiorstwa – materiałowymi, finansowymi, produkcyjnymi, ludzkimi (ERP – Enterprise Resource Planning); 3) komputerowo zintegrowane wytwarzanie (CIM –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Computer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Integrated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 Manufacturing); 4) systemy nadzorujące przebieg procesu technologicznego lub produkcyjnego (SCADA –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Supervisory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 Control And Data </w:t>
            </w:r>
            <w:proofErr w:type="spellStart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>Acquisition</w:t>
            </w:r>
            <w:proofErr w:type="spellEnd"/>
            <w:r w:rsidRPr="00797B05">
              <w:rPr>
                <w:rFonts w:ascii="Arial" w:hAnsi="Arial" w:cs="Arial"/>
                <w:color w:val="auto"/>
                <w:sz w:val="18"/>
                <w:szCs w:val="18"/>
              </w:rPr>
              <w:t xml:space="preserve">) </w:t>
            </w:r>
          </w:p>
          <w:p w:rsidR="00797B05" w:rsidRPr="00797B05" w:rsidRDefault="00797B05" w:rsidP="00C471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Punkty w ramach kryterium nie sumują się.</w:t>
            </w:r>
          </w:p>
        </w:tc>
        <w:tc>
          <w:tcPr>
            <w:tcW w:w="4865" w:type="dxa"/>
            <w:vAlign w:val="center"/>
          </w:tcPr>
          <w:p w:rsidR="00797B05" w:rsidRPr="00797B05" w:rsidRDefault="00797B05" w:rsidP="00C471A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lastRenderedPageBreak/>
              <w:t>Kryterium punktowe – przyznanie 0 punktów nie dyskwalifikuje z możliwości uzyskania dofinansowania.</w:t>
            </w:r>
          </w:p>
          <w:p w:rsidR="00797B05" w:rsidRPr="00797B05" w:rsidRDefault="00797B05" w:rsidP="00C471A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Projekt może otrzymać maksymalnie  15 punktów </w:t>
            </w:r>
          </w:p>
        </w:tc>
      </w:tr>
      <w:tr w:rsidR="00797B05" w:rsidRPr="00797B05" w:rsidTr="00D42224">
        <w:tc>
          <w:tcPr>
            <w:tcW w:w="552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913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6379" w:type="dxa"/>
            <w:vAlign w:val="center"/>
          </w:tcPr>
          <w:p w:rsidR="00797B05" w:rsidRPr="00797B05" w:rsidRDefault="00797B05" w:rsidP="00C471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Ocenie podlega zadeklarowany przez Wnioskodawcę poziom wkładu własnego wg następującej punktacji</w:t>
            </w:r>
          </w:p>
          <w:p w:rsidR="00797B05" w:rsidRPr="00797B05" w:rsidRDefault="00797B05" w:rsidP="00C471A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pow. 0 do 2  pkt proc.  powyżej minimalnego poziomu wkładu własnego  </w:t>
            </w:r>
            <w:r w:rsidRPr="00797B05">
              <w:rPr>
                <w:rFonts w:ascii="Arial" w:hAnsi="Arial" w:cs="Arial"/>
                <w:color w:val="0A15F4"/>
                <w:sz w:val="18"/>
                <w:szCs w:val="18"/>
              </w:rPr>
              <w:t xml:space="preserve">– </w:t>
            </w:r>
            <w:r w:rsidRPr="00797B05">
              <w:rPr>
                <w:rFonts w:ascii="Arial" w:hAnsi="Arial" w:cs="Arial"/>
                <w:sz w:val="18"/>
                <w:szCs w:val="18"/>
              </w:rPr>
              <w:t>3 pkt</w:t>
            </w:r>
          </w:p>
          <w:p w:rsidR="00797B05" w:rsidRPr="00797B05" w:rsidRDefault="00797B05" w:rsidP="00C471A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pow. 2 do 4  pkt proc.  powyżej minimalnego poziomu wkładu własnego  </w:t>
            </w:r>
            <w:r w:rsidRPr="00797B05">
              <w:rPr>
                <w:rFonts w:ascii="Arial" w:hAnsi="Arial" w:cs="Arial"/>
                <w:color w:val="0A15F4"/>
                <w:sz w:val="18"/>
                <w:szCs w:val="18"/>
              </w:rPr>
              <w:t xml:space="preserve">– </w:t>
            </w:r>
            <w:r w:rsidRPr="00797B05">
              <w:rPr>
                <w:rFonts w:ascii="Arial" w:hAnsi="Arial" w:cs="Arial"/>
                <w:sz w:val="18"/>
                <w:szCs w:val="18"/>
              </w:rPr>
              <w:t>4 pkt</w:t>
            </w:r>
          </w:p>
          <w:p w:rsidR="00797B05" w:rsidRPr="00797B05" w:rsidRDefault="00797B05" w:rsidP="00C471A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pow. 4  pkt proc.  powyżej minimalnego poziomu wkładu własnego  </w:t>
            </w:r>
            <w:r w:rsidRPr="00797B05">
              <w:rPr>
                <w:rFonts w:ascii="Arial" w:hAnsi="Arial" w:cs="Arial"/>
                <w:color w:val="0A15F4"/>
                <w:sz w:val="18"/>
                <w:szCs w:val="18"/>
              </w:rPr>
              <w:t xml:space="preserve">– </w:t>
            </w:r>
            <w:r w:rsidRPr="00797B05">
              <w:rPr>
                <w:rFonts w:ascii="Arial" w:hAnsi="Arial" w:cs="Arial"/>
                <w:sz w:val="18"/>
                <w:szCs w:val="18"/>
              </w:rPr>
              <w:t>5 pkt</w:t>
            </w:r>
          </w:p>
        </w:tc>
        <w:tc>
          <w:tcPr>
            <w:tcW w:w="4865" w:type="dxa"/>
            <w:vAlign w:val="center"/>
          </w:tcPr>
          <w:p w:rsidR="00797B05" w:rsidRPr="00797B05" w:rsidRDefault="00797B05" w:rsidP="00C471A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Projekt może otrzymać od 0 do 5 punktów (maksymalnie).</w:t>
            </w:r>
          </w:p>
        </w:tc>
      </w:tr>
      <w:tr w:rsidR="00797B05" w:rsidRPr="00797B05" w:rsidTr="00D42224">
        <w:tc>
          <w:tcPr>
            <w:tcW w:w="552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913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Zakres zmian w działalności  przedsiębiorstwa</w:t>
            </w:r>
          </w:p>
        </w:tc>
        <w:tc>
          <w:tcPr>
            <w:tcW w:w="6379" w:type="dxa"/>
            <w:vAlign w:val="center"/>
          </w:tcPr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Ocenie podlega opisany w studium wykonalności/ biznes planie zakres zmian w przedsiębiorstwie, które będą wynikiem projektu (rozumiany jako % </w:t>
            </w:r>
            <w:r w:rsidRPr="00797B05">
              <w:rPr>
                <w:rFonts w:ascii="Arial" w:hAnsi="Arial" w:cs="Arial"/>
                <w:sz w:val="18"/>
                <w:szCs w:val="18"/>
              </w:rPr>
              <w:lastRenderedPageBreak/>
              <w:t>procesów, które zostaną nim objęte, np.:  produkcja, marketing, logistyka, zarządzanie relacjami z klientami, zarządzanie jakością, kontrola, BHP, usługi posprzedażne, zarządzanie kadrami, zaopatrzenie, itp.).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- zmiany obejmą mniej niż 10 % procesów w przedsiębiorstwie – 0 pkt</w:t>
            </w:r>
          </w:p>
          <w:p w:rsidR="00797B05" w:rsidRPr="00797B05" w:rsidRDefault="00797B05" w:rsidP="00C471AB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zmiany obejmą mniej pow.10 % do 30% procesów w przedsiębiorstwie – 2 pkt</w:t>
            </w:r>
          </w:p>
          <w:p w:rsidR="00797B05" w:rsidRPr="00797B05" w:rsidRDefault="00797B05" w:rsidP="00C471AB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zmiany obejmą pow. 30 % do 50 % procesów w przedsiębiorstwie – 3 pkt</w:t>
            </w:r>
          </w:p>
          <w:p w:rsidR="00797B05" w:rsidRPr="00797B05" w:rsidRDefault="00797B05" w:rsidP="00C471AB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zmiany obejmą pow. 50 do 80 % procesów w przedsiębiorstwie – 4 pkt</w:t>
            </w:r>
          </w:p>
          <w:p w:rsidR="00797B05" w:rsidRPr="00797B05" w:rsidRDefault="00797B05" w:rsidP="00C471AB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zmiany obejmą pow. 80 % procesów w przedsiębiorstwie – 5 pkt</w:t>
            </w:r>
          </w:p>
        </w:tc>
        <w:tc>
          <w:tcPr>
            <w:tcW w:w="4865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Kryterium punktowe – przyznanie 0 punktów nie </w:t>
            </w:r>
            <w:r w:rsidRPr="00797B05">
              <w:rPr>
                <w:rFonts w:ascii="Arial" w:hAnsi="Arial" w:cs="Arial"/>
                <w:sz w:val="18"/>
                <w:szCs w:val="18"/>
              </w:rPr>
              <w:lastRenderedPageBreak/>
              <w:t>dyskwalifikuje z możliwości uzyskania dofinansowania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Projekt może otrzymać od 0 do 5 pkt (maksymalnie).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797B05" w:rsidRPr="00797B05" w:rsidTr="00D4222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7B0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Działania promujące wypracowane w ramach projektu rozwiązania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Ocenie podlegają działania promocyjne dla nowych rozwiązań wypracowanych w ramach projektu (wśród klientów, odbiorców, dostawców, podwykonawców).  W ramach kryterium można przyznać następujące punkty:</w:t>
            </w:r>
          </w:p>
          <w:p w:rsidR="00797B05" w:rsidRPr="00797B05" w:rsidRDefault="00797B05" w:rsidP="00C471AB">
            <w:pPr>
              <w:keepNext/>
              <w:keepLines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0 pkt – projekt nie przewiduje działań promocyjnych  dla nowych rozwiązań wypracowanych w ramach projektu,</w:t>
            </w:r>
          </w:p>
          <w:p w:rsidR="00797B05" w:rsidRPr="00797B05" w:rsidRDefault="00797B05" w:rsidP="00C471AB">
            <w:pPr>
              <w:keepNext/>
              <w:keepLines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1 pkt – projekt przewiduje działania promocyjne dla nowych rozwiązań wypracowanych w ramach projektu (wśród klientów, odbiorców, dostawców, podwykonawców).  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797B05" w:rsidRPr="00797B05" w:rsidRDefault="00797B05" w:rsidP="00C471A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Projekt może otrzymać 0 lub 1 punkt (maksymalnie).</w:t>
            </w:r>
          </w:p>
        </w:tc>
      </w:tr>
      <w:tr w:rsidR="00797B05" w:rsidRPr="00797B05" w:rsidTr="00D42224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7B05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Wpływ na  internacjonalizację  przedsiębiorstwa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Ocenie podlega wpływ wypracowanych rozwiązań w ramach projektu na internacjonalizację działalności przedsiębiorstwa. W ramach kryterium można przyznać następujące punkty:</w:t>
            </w:r>
          </w:p>
          <w:p w:rsidR="00797B05" w:rsidRPr="00797B05" w:rsidRDefault="00797B05" w:rsidP="00C471AB">
            <w:pPr>
              <w:keepNext/>
              <w:keepLines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0 pkt – projekt nie wpływa na możliwość rozpoczęcia lub rozwoju działań </w:t>
            </w:r>
            <w:proofErr w:type="spellStart"/>
            <w:r w:rsidRPr="00797B05">
              <w:rPr>
                <w:rFonts w:ascii="Arial" w:hAnsi="Arial" w:cs="Arial"/>
                <w:sz w:val="18"/>
                <w:szCs w:val="18"/>
              </w:rPr>
              <w:t>internacjonalizacyjnych</w:t>
            </w:r>
            <w:proofErr w:type="spellEnd"/>
            <w:r w:rsidRPr="00797B05">
              <w:rPr>
                <w:rFonts w:ascii="Arial" w:hAnsi="Arial" w:cs="Arial"/>
                <w:sz w:val="18"/>
                <w:szCs w:val="18"/>
              </w:rPr>
              <w:t xml:space="preserve"> przez przedsiębiorstwo,</w:t>
            </w:r>
          </w:p>
          <w:p w:rsidR="00797B05" w:rsidRPr="00797B05" w:rsidRDefault="00797B05" w:rsidP="00C471AB">
            <w:pPr>
              <w:keepNext/>
              <w:keepLines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2 pkt –  projekt przyczynia się do rozpoczęcia lub rozwoju działań </w:t>
            </w:r>
            <w:proofErr w:type="spellStart"/>
            <w:r w:rsidRPr="00797B05">
              <w:rPr>
                <w:rFonts w:ascii="Arial" w:hAnsi="Arial" w:cs="Arial"/>
                <w:sz w:val="18"/>
                <w:szCs w:val="18"/>
              </w:rPr>
              <w:t>internacjonalizacyjnych</w:t>
            </w:r>
            <w:proofErr w:type="spellEnd"/>
            <w:r w:rsidRPr="00797B05">
              <w:rPr>
                <w:rFonts w:ascii="Arial" w:hAnsi="Arial" w:cs="Arial"/>
                <w:sz w:val="18"/>
                <w:szCs w:val="18"/>
              </w:rPr>
              <w:t xml:space="preserve"> przez przedsiębiorstwo.  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797B05" w:rsidRPr="00797B05" w:rsidRDefault="00797B05" w:rsidP="00C471AB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Projekt może otrzymać od 0 do 2 punktów (maksymalnie).</w:t>
            </w:r>
          </w:p>
        </w:tc>
      </w:tr>
      <w:tr w:rsidR="00797B05" w:rsidRPr="00797B05" w:rsidTr="00D4222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709" w:type="dxa"/>
            <w:gridSpan w:val="4"/>
            <w:shd w:val="clear" w:color="auto" w:fill="C5E0B3"/>
          </w:tcPr>
          <w:p w:rsidR="00797B05" w:rsidRPr="00797B05" w:rsidRDefault="00797B05" w:rsidP="00C967C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sz w:val="18"/>
                <w:szCs w:val="18"/>
              </w:rPr>
              <w:t>Maksymalna liczba punktów 36</w:t>
            </w:r>
          </w:p>
        </w:tc>
      </w:tr>
    </w:tbl>
    <w:p w:rsidR="00797B05" w:rsidRDefault="00797B05" w:rsidP="00797B05">
      <w:pPr>
        <w:jc w:val="both"/>
        <w:rPr>
          <w:bCs/>
          <w:color w:val="000000"/>
          <w:kern w:val="24"/>
          <w:sz w:val="20"/>
          <w:szCs w:val="20"/>
        </w:rPr>
      </w:pPr>
    </w:p>
    <w:p w:rsidR="00797B05" w:rsidRDefault="00797B05" w:rsidP="00797B05">
      <w:pPr>
        <w:jc w:val="both"/>
        <w:rPr>
          <w:bCs/>
          <w:color w:val="000000"/>
          <w:kern w:val="24"/>
          <w:sz w:val="20"/>
          <w:szCs w:val="20"/>
        </w:rPr>
      </w:pPr>
    </w:p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5670"/>
        <w:gridCol w:w="5670"/>
      </w:tblGrid>
      <w:tr w:rsidR="00797B05" w:rsidRPr="00797B05" w:rsidTr="00D42224">
        <w:trPr>
          <w:trHeight w:val="436"/>
        </w:trPr>
        <w:tc>
          <w:tcPr>
            <w:tcW w:w="14885" w:type="dxa"/>
            <w:gridSpan w:val="4"/>
            <w:shd w:val="clear" w:color="auto" w:fill="92CDDC"/>
            <w:vAlign w:val="center"/>
          </w:tcPr>
          <w:p w:rsid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" w:hanging="7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KRYTERIA MERYTORYCZNE (PREMIUJĄCE)</w:t>
            </w:r>
          </w:p>
          <w:p w:rsidR="003032AC" w:rsidRPr="003032AC" w:rsidRDefault="003032AC" w:rsidP="003032A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32A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Kryteria merytoryczne premiujące mają charakter rozstrzygający, co oznacza, że jeżeli na liście wniosków o dofinansowanie znalazły się projekty, które uzyskały jednakową liczbę punktów w ocenie końcowej w ramach kryteriów merytorycznych punktowych i merytorycznych premiujących, o kolejności na liście decyduje wynik uzyskany w ramach kryteriów premiujących </w:t>
            </w:r>
          </w:p>
        </w:tc>
      </w:tr>
      <w:tr w:rsidR="00797B05" w:rsidRPr="00797B05" w:rsidTr="00D42224">
        <w:trPr>
          <w:trHeight w:val="414"/>
        </w:trPr>
        <w:tc>
          <w:tcPr>
            <w:tcW w:w="710" w:type="dxa"/>
            <w:shd w:val="clear" w:color="auto" w:fill="92CDDC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5670" w:type="dxa"/>
            <w:shd w:val="clear" w:color="auto" w:fill="92CDDC"/>
            <w:vAlign w:val="center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5670" w:type="dxa"/>
            <w:shd w:val="clear" w:color="auto" w:fill="92CDDC"/>
            <w:vAlign w:val="center"/>
          </w:tcPr>
          <w:p w:rsidR="00797B05" w:rsidRPr="00C471AB" w:rsidRDefault="00797B05" w:rsidP="00C471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71AB">
              <w:rPr>
                <w:rFonts w:ascii="Arial" w:hAnsi="Arial" w:cs="Arial"/>
                <w:b/>
                <w:sz w:val="18"/>
                <w:szCs w:val="18"/>
              </w:rPr>
              <w:t>OPIS ZNACZENIA</w:t>
            </w:r>
          </w:p>
        </w:tc>
      </w:tr>
      <w:tr w:rsidR="00797B05" w:rsidRPr="00797B05" w:rsidTr="00D42224">
        <w:trPr>
          <w:trHeight w:val="1963"/>
        </w:trPr>
        <w:tc>
          <w:tcPr>
            <w:tcW w:w="710" w:type="dxa"/>
            <w:vMerge w:val="restart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color w:val="000000"/>
                <w:sz w:val="18"/>
                <w:szCs w:val="18"/>
              </w:rPr>
              <w:t>Zgodność projektu z zasadami horyzontalnymi wynikającymi z RPO WiM 2014-2020</w:t>
            </w:r>
            <w:r w:rsidRPr="00797B0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670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Preferowane będą projekty spełniające zasady horyzontalne, w szczególności:</w:t>
            </w:r>
          </w:p>
        </w:tc>
        <w:tc>
          <w:tcPr>
            <w:tcW w:w="5670" w:type="dxa"/>
            <w:vAlign w:val="center"/>
          </w:tcPr>
          <w:p w:rsid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3032AC" w:rsidRPr="00797B05" w:rsidRDefault="003032AC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punktowe (min-max).</w:t>
            </w:r>
          </w:p>
        </w:tc>
      </w:tr>
      <w:tr w:rsidR="00797B05" w:rsidRPr="00797B05" w:rsidTr="00D42224">
        <w:tc>
          <w:tcPr>
            <w:tcW w:w="710" w:type="dxa"/>
            <w:vMerge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797B05" w:rsidRPr="00797B05" w:rsidRDefault="00797B05" w:rsidP="00C471A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- kryterium odprowadzania podatków na terenie województwa warmińsko-mazurskiego w obszarze realizacji projektu,</w:t>
            </w:r>
          </w:p>
        </w:tc>
        <w:tc>
          <w:tcPr>
            <w:tcW w:w="5670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Kryterium premiuje odprowadzanie przez wnioskodawcę podatków </w:t>
            </w: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797B05" w:rsidRPr="00797B05" w:rsidRDefault="00797B05" w:rsidP="00C471A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dochodowy (PIT, CIT),</w:t>
            </w:r>
          </w:p>
          <w:p w:rsidR="00797B05" w:rsidRPr="00797B05" w:rsidRDefault="00797B05" w:rsidP="00C471A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towarów i usług (VAT),</w:t>
            </w:r>
          </w:p>
          <w:p w:rsidR="00797B05" w:rsidRPr="00797B05" w:rsidRDefault="00797B05" w:rsidP="00C471A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akcyza,</w:t>
            </w:r>
          </w:p>
          <w:p w:rsidR="00797B05" w:rsidRPr="00797B05" w:rsidRDefault="00797B05" w:rsidP="00C471A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nieruchomości, </w:t>
            </w:r>
          </w:p>
          <w:p w:rsidR="00797B05" w:rsidRPr="00797B05" w:rsidRDefault="00797B05" w:rsidP="00C471A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środków transportowych,</w:t>
            </w:r>
          </w:p>
          <w:p w:rsidR="00797B05" w:rsidRPr="00797B05" w:rsidRDefault="00797B05" w:rsidP="00C471AB">
            <w:pPr>
              <w:pStyle w:val="Tekstpodstawowy"/>
              <w:keepNext/>
              <w:numPr>
                <w:ilvl w:val="0"/>
                <w:numId w:val="22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podatek od czynności cywilnoprawnych od umowy spółki.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Wnioskodawca i/lub partnerzy (jeśli dotyczy) nie odprowadza lub nie będzie odprowadzać</w:t>
            </w: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żadnego z powyższych podatków w województwie warmińsko-mazurskim 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Projekt  w tym kryterium może otrzymać od 0 do 3 pkt</w:t>
            </w:r>
          </w:p>
        </w:tc>
      </w:tr>
      <w:tr w:rsidR="00797B05" w:rsidRPr="00797B05" w:rsidTr="00D42224">
        <w:tc>
          <w:tcPr>
            <w:tcW w:w="710" w:type="dxa"/>
            <w:vMerge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797B05" w:rsidRPr="00797B05" w:rsidRDefault="00797B05" w:rsidP="00C471A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- kryterium komunikacji z interesariuszami,</w:t>
            </w:r>
          </w:p>
        </w:tc>
        <w:tc>
          <w:tcPr>
            <w:tcW w:w="5670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Kryterium premiuje budowanie dowolnej formy komunikacji, kontaktu, wymiany informacji miedzy osobami, instytucjami i firmami na zasadzie partnerstwa, </w:t>
            </w:r>
            <w:r w:rsidRPr="00797B05">
              <w:rPr>
                <w:rFonts w:ascii="Arial" w:hAnsi="Arial" w:cs="Arial"/>
                <w:bCs/>
                <w:iCs/>
                <w:sz w:val="18"/>
                <w:szCs w:val="18"/>
                <w:lang w:eastAsia="en-US"/>
              </w:rPr>
              <w:t>który zapewni ich aktywny udział w przygotowaniu projektu oraz branie ich zdania pod uwagę podczas podejmowania kluczowych decyzji dotyczących projektu</w:t>
            </w: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Wnioskodawca i partnerzy (jeśli dotyczy) zapewnili komunikacji z interesariuszami projektu w powyższy sposób</w:t>
            </w:r>
          </w:p>
        </w:tc>
      </w:tr>
      <w:tr w:rsidR="00797B05" w:rsidRPr="00797B05" w:rsidTr="00D42224">
        <w:tc>
          <w:tcPr>
            <w:tcW w:w="710" w:type="dxa"/>
            <w:vMerge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797B05" w:rsidRPr="00797B05" w:rsidRDefault="00797B05" w:rsidP="00C471A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- efektywne i racjonalne wykorzystywanie zasobów naturalnych oraz stosowanie rozwiązań przyjaznych środowisku,</w:t>
            </w:r>
          </w:p>
        </w:tc>
        <w:tc>
          <w:tcPr>
            <w:tcW w:w="5670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Kryterium premiuje  efektywne i racjonalne wykorzystywanie zasobów naturalnych oraz stosowanie rozwiązań przyjaznych środowisku.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797B05">
              <w:rPr>
                <w:rFonts w:ascii="Arial" w:hAnsi="Arial" w:cs="Arial"/>
                <w:bCs/>
                <w:color w:val="FF0000"/>
                <w:sz w:val="18"/>
                <w:szCs w:val="18"/>
                <w:lang w:eastAsia="en-US"/>
              </w:rPr>
              <w:t>.</w:t>
            </w:r>
          </w:p>
        </w:tc>
      </w:tr>
      <w:tr w:rsidR="00797B05" w:rsidRPr="00797B05" w:rsidTr="00D42224">
        <w:tc>
          <w:tcPr>
            <w:tcW w:w="710" w:type="dxa"/>
            <w:vMerge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797B05" w:rsidRPr="00797B05" w:rsidRDefault="00797B05" w:rsidP="00C471AB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- kryterium stosowania klauzul społecznych w zamówieniach.</w:t>
            </w:r>
          </w:p>
        </w:tc>
        <w:tc>
          <w:tcPr>
            <w:tcW w:w="5670" w:type="dxa"/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 xml:space="preserve">Kryterium premiuje założone we wniosku o dofinansowanie </w:t>
            </w: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wykorzystanie </w:t>
            </w: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przy wyborze oferentów  – obok jakości i ceny – także kryteriów odnoszących się do kwestii społecznych (</w:t>
            </w: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 xml:space="preserve">dopuszczonych przez </w:t>
            </w: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prawo zamówień publicznych).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W ramach kryterium można przyznać następujące punkty: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0 pkt – w zamówieniach realizowanych/ planowanych do realizacji w ramach projektu nie wskazano, czy wśród kryteriów wyboru oferentów będą kryteria odnoszące się do kwestii społecznych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797B05" w:rsidRPr="00797B05" w:rsidTr="00D42224">
        <w:tc>
          <w:tcPr>
            <w:tcW w:w="710" w:type="dxa"/>
            <w:vAlign w:val="center"/>
          </w:tcPr>
          <w:p w:rsidR="00797B05" w:rsidRPr="00797B05" w:rsidRDefault="00797B05" w:rsidP="00C471AB">
            <w:pPr>
              <w:ind w:hanging="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 xml:space="preserve">Komplementarność projektu. </w:t>
            </w:r>
          </w:p>
        </w:tc>
        <w:tc>
          <w:tcPr>
            <w:tcW w:w="5670" w:type="dxa"/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realizowane w partnerstwach i innych formach współpracy (na mocy: porozumień, umów, listów intencyjnych), a także projekty kompleksowe (w osiąganiu celu w pełni i całkowitej likwidacji problemu na danym obszarze).</w:t>
            </w:r>
          </w:p>
        </w:tc>
        <w:tc>
          <w:tcPr>
            <w:tcW w:w="5670" w:type="dxa"/>
            <w:vAlign w:val="center"/>
          </w:tcPr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W ramach kryterium można przyznać następujące punkty (punkty sumują się do maksymalnie 6 pkt):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1 pkt – projekt jest realizowany w partnerstwie lub innej formie współpracy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2 pkt –   projekt jest końcowym elementem wypełniającym ostatnią lukę w istniejącej infrastrukturze na danym obszarze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1 pkt – projekt bezpośrednio wykorzystuje produkty bądź rezultaty innego projektu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1 pkt –  projekt pełni łącznie z innymi projektami tę samą funkcję, dzięki czemu w pełni wykorzystywane są możliwości istniejącej infrastruktury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1 pkt – projekt łącznie z innymi projektami jest wykorzystywany przez tych samych użytkowników</w:t>
            </w:r>
          </w:p>
        </w:tc>
      </w:tr>
      <w:tr w:rsidR="00797B05" w:rsidRPr="00797B05" w:rsidTr="00D4222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ind w:hanging="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Doświadczenie w realizacji podobnych projektów.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0 pkt –  Wnioskodawca i partnerzy (jeśli dotyczy) nie posiadają doświadczenia w realizacji podobnych projektów lub przedsięwzięć</w:t>
            </w:r>
          </w:p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1 pkt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Kryterium punktowe – przyznanie 0 punktów nie dyskwalifikuje z możliwości uzyskania dofinansowania.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Projekt może otrzymać od 0 do 1 punktów (maksymalnie).</w:t>
            </w:r>
          </w:p>
        </w:tc>
      </w:tr>
      <w:tr w:rsidR="00797B05" w:rsidRPr="00797B05" w:rsidTr="00D4222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ind w:hanging="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Innowacyjność technologii i implementowanych rozwiązań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Ocenie podlega poziom innowacji produktowej/ procesowej powstałej w wyniku realizacji projektu (oceniane na podstawie załączonej do wniosku o dofinansowanie opinii o innowacyjności)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Ocenie podlega, czy w ramach projektu: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- powstanie innowacja produktowa / procesowa o skali co najmniej regionalnej – 3 pkt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t>- powstanie innowacja produktowa / procesowa o skali co najmniej krajowej – 4 pkt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- powstanie innowacja produktowa / procesowa o skali co najmniej międzynarodowej  – 5 pkt</w:t>
            </w:r>
          </w:p>
        </w:tc>
      </w:tr>
      <w:tr w:rsidR="00797B05" w:rsidRPr="00797B05" w:rsidTr="00D4222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ind w:hanging="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Wzrost  zatrudnienia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Ocenie podlega planowany w wyniku realizacji projektu wzrost zatrudnienia u Wnioskodawcy (w przypadku projektów partnerskich liczone łącznie dla wszystkich partnerów).  Aby otrzymać punkty w tym kryterium projekt  musi wykazać wzrost zatrudnienia netto. Oznacza to, że wzrost zatrudnienia w wyniku realizacji projektu może mieć miejsce wyłącznie w przypadku jednoczesnego utrzymania poziomu zatrudnienia wykazanego jako podstawa wyliczenia wzrostu. Wzrost liczony jest na koniec realizacji projektu w porównaniu do  ostatniego roku obrotowego przed dniem złożenia wniosku o dofinansowanie. Do zatrudnienia wliczane są wszystkie etaty z wyłączeniem:</w:t>
            </w:r>
          </w:p>
          <w:p w:rsidR="00797B05" w:rsidRPr="00797B05" w:rsidRDefault="00797B05" w:rsidP="00C471AB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osób zatrudnionych na podstawie umowy o dzieło lub umowy zlecenia,</w:t>
            </w:r>
          </w:p>
          <w:p w:rsidR="00797B05" w:rsidRPr="00797B05" w:rsidRDefault="00797B05" w:rsidP="00C471AB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osób wykonujących pracę nakładczą,</w:t>
            </w:r>
          </w:p>
          <w:p w:rsidR="00797B05" w:rsidRPr="00797B05" w:rsidRDefault="00797B05" w:rsidP="00C471AB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uczniów, którzy zawarli z firmą umowę o naukę zawodu lub przyuczenie do wykonywania pracy,</w:t>
            </w:r>
          </w:p>
          <w:p w:rsidR="00797B05" w:rsidRPr="00797B05" w:rsidRDefault="00797B05" w:rsidP="00C471AB">
            <w:pPr>
              <w:numPr>
                <w:ilvl w:val="0"/>
                <w:numId w:val="3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osób korzystających w trakcie ostatnich 12 miesięcy z bezpłatnych urlopów wychowawczych w wymiarze powyżej 3 miesięcy.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W ramach kryterium można przyznać następujące punkty:</w:t>
            </w:r>
          </w:p>
          <w:p w:rsidR="00797B05" w:rsidRPr="00797B05" w:rsidRDefault="00797B05" w:rsidP="00C471AB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0 etatu – 0 pkt</w:t>
            </w:r>
          </w:p>
          <w:p w:rsidR="00797B05" w:rsidRPr="00797B05" w:rsidRDefault="00797B05" w:rsidP="00C471AB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pow. 0 do 1 etatu – 4 pkt</w:t>
            </w:r>
          </w:p>
          <w:p w:rsidR="00797B05" w:rsidRPr="00797B05" w:rsidRDefault="00797B05" w:rsidP="00C471AB">
            <w:pPr>
              <w:numPr>
                <w:ilvl w:val="0"/>
                <w:numId w:val="36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pow. 1 do 2 etatów – 5 pkt</w:t>
            </w:r>
          </w:p>
          <w:p w:rsidR="00797B05" w:rsidRPr="00797B05" w:rsidRDefault="00797B05" w:rsidP="00C471AB">
            <w:pPr>
              <w:pStyle w:val="Tekstpodstawowy"/>
              <w:keepNext/>
              <w:tabs>
                <w:tab w:val="left" w:pos="0"/>
              </w:tabs>
              <w:snapToGri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pow. 2 etatów – 6 pkt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797B05" w:rsidRPr="00797B05" w:rsidRDefault="00797B05" w:rsidP="00C471AB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7B05">
              <w:rPr>
                <w:rFonts w:ascii="Arial" w:hAnsi="Arial" w:cs="Arial"/>
                <w:sz w:val="18"/>
                <w:szCs w:val="18"/>
              </w:rPr>
              <w:t>Projekt może otrzymać od 0 do 6 punktów (maksymalnie).</w:t>
            </w:r>
          </w:p>
        </w:tc>
      </w:tr>
      <w:tr w:rsidR="00797B05" w:rsidRPr="00797B05" w:rsidTr="00D42224">
        <w:trPr>
          <w:trHeight w:val="280"/>
        </w:trPr>
        <w:tc>
          <w:tcPr>
            <w:tcW w:w="14885" w:type="dxa"/>
            <w:gridSpan w:val="4"/>
            <w:shd w:val="clear" w:color="auto" w:fill="B6DDE8"/>
            <w:vAlign w:val="center"/>
          </w:tcPr>
          <w:p w:rsidR="00797B05" w:rsidRPr="00797B05" w:rsidRDefault="00797B05" w:rsidP="00C967C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797B05">
              <w:rPr>
                <w:rFonts w:ascii="Arial" w:hAnsi="Arial" w:cs="Arial"/>
                <w:b/>
                <w:sz w:val="18"/>
                <w:szCs w:val="18"/>
              </w:rPr>
              <w:t>MAKSYMALNA LICZBA PUNKTÓW = 24</w:t>
            </w:r>
          </w:p>
        </w:tc>
      </w:tr>
    </w:tbl>
    <w:p w:rsidR="00797B05" w:rsidRDefault="00797B05" w:rsidP="00797B05">
      <w:pPr>
        <w:jc w:val="center"/>
        <w:outlineLvl w:val="1"/>
        <w:rPr>
          <w:rFonts w:ascii="Arial" w:hAnsi="Arial" w:cs="Arial"/>
        </w:rPr>
      </w:pPr>
    </w:p>
    <w:p w:rsidR="00797B05" w:rsidRDefault="00797B05" w:rsidP="00797B05"/>
    <w:p w:rsidR="00E61215" w:rsidRPr="00FC5200" w:rsidRDefault="00E61215" w:rsidP="00797B05">
      <w:pPr>
        <w:jc w:val="center"/>
        <w:rPr>
          <w:rFonts w:ascii="Arial" w:hAnsi="Arial" w:cs="Arial"/>
          <w:b/>
        </w:rPr>
      </w:pPr>
    </w:p>
    <w:sectPr w:rsidR="00E61215" w:rsidRPr="00FC5200" w:rsidSect="00686D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D39" w:rsidRDefault="00824D39" w:rsidP="00874EF2">
      <w:r>
        <w:separator/>
      </w:r>
    </w:p>
  </w:endnote>
  <w:endnote w:type="continuationSeparator" w:id="0">
    <w:p w:rsidR="00824D39" w:rsidRDefault="00824D39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FA4D80">
    <w:pPr>
      <w:pStyle w:val="Stopka"/>
      <w:jc w:val="right"/>
    </w:pPr>
    <w:r>
      <w:fldChar w:fldCharType="begin"/>
    </w:r>
    <w:r w:rsidR="00506E8D">
      <w:instrText xml:space="preserve"> PAGE   \* MERGEFORMAT </w:instrText>
    </w:r>
    <w:r>
      <w:fldChar w:fldCharType="separate"/>
    </w:r>
    <w:r w:rsidR="008821BC">
      <w:rPr>
        <w:noProof/>
      </w:rPr>
      <w:t>2</w:t>
    </w:r>
    <w:r>
      <w:rPr>
        <w:noProof/>
      </w:rPr>
      <w:fldChar w:fldCharType="end"/>
    </w:r>
  </w:p>
  <w:p w:rsidR="00506E8D" w:rsidRPr="00F17EA9" w:rsidRDefault="00506E8D" w:rsidP="006E2DB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D39" w:rsidRDefault="00824D39" w:rsidP="00874EF2">
      <w:r>
        <w:separator/>
      </w:r>
    </w:p>
  </w:footnote>
  <w:footnote w:type="continuationSeparator" w:id="0">
    <w:p w:rsidR="00824D39" w:rsidRDefault="00824D39" w:rsidP="00874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E8D" w:rsidRDefault="00506E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728F8"/>
    <w:multiLevelType w:val="hybridMultilevel"/>
    <w:tmpl w:val="E3A257D4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82181"/>
    <w:multiLevelType w:val="hybridMultilevel"/>
    <w:tmpl w:val="0CBCEDB8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B2ECB"/>
    <w:multiLevelType w:val="hybridMultilevel"/>
    <w:tmpl w:val="28C80AC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87706"/>
    <w:multiLevelType w:val="hybridMultilevel"/>
    <w:tmpl w:val="C9D211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F680B"/>
    <w:multiLevelType w:val="hybridMultilevel"/>
    <w:tmpl w:val="9404FC3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382432"/>
    <w:multiLevelType w:val="hybridMultilevel"/>
    <w:tmpl w:val="87C40FE2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20451"/>
    <w:multiLevelType w:val="hybridMultilevel"/>
    <w:tmpl w:val="8C725AC6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4B2541F"/>
    <w:multiLevelType w:val="hybridMultilevel"/>
    <w:tmpl w:val="CA34D19C"/>
    <w:lvl w:ilvl="0" w:tplc="E440123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>
    <w:nsid w:val="3D0B0744"/>
    <w:multiLevelType w:val="hybridMultilevel"/>
    <w:tmpl w:val="D3DA1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872505"/>
    <w:multiLevelType w:val="hybridMultilevel"/>
    <w:tmpl w:val="D998428C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0A5C7E"/>
    <w:multiLevelType w:val="hybridMultilevel"/>
    <w:tmpl w:val="23C24A5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">
    <w:nsid w:val="51EE5D2F"/>
    <w:multiLevelType w:val="hybridMultilevel"/>
    <w:tmpl w:val="D2C45C9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C610D3"/>
    <w:multiLevelType w:val="hybridMultilevel"/>
    <w:tmpl w:val="5C5A691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59A67F25"/>
    <w:multiLevelType w:val="hybridMultilevel"/>
    <w:tmpl w:val="05B06BB0"/>
    <w:lvl w:ilvl="0" w:tplc="E4401232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3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604770"/>
    <w:multiLevelType w:val="hybridMultilevel"/>
    <w:tmpl w:val="98E8A5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CE6223"/>
    <w:multiLevelType w:val="hybridMultilevel"/>
    <w:tmpl w:val="3036EE40"/>
    <w:lvl w:ilvl="0" w:tplc="C9FA376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6">
    <w:nsid w:val="629823BF"/>
    <w:multiLevelType w:val="hybridMultilevel"/>
    <w:tmpl w:val="2076A702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BF7900"/>
    <w:multiLevelType w:val="hybridMultilevel"/>
    <w:tmpl w:val="75AA7D56"/>
    <w:lvl w:ilvl="0" w:tplc="E44012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67225D86"/>
    <w:multiLevelType w:val="hybridMultilevel"/>
    <w:tmpl w:val="61043288"/>
    <w:lvl w:ilvl="0" w:tplc="7BC47E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504733"/>
    <w:multiLevelType w:val="hybridMultilevel"/>
    <w:tmpl w:val="DC9E268A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26840"/>
    <w:multiLevelType w:val="hybridMultilevel"/>
    <w:tmpl w:val="7FCC2B08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4720FF6"/>
    <w:multiLevelType w:val="hybridMultilevel"/>
    <w:tmpl w:val="A454D1BA"/>
    <w:lvl w:ilvl="0" w:tplc="E440123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5">
    <w:nsid w:val="77A37738"/>
    <w:multiLevelType w:val="hybridMultilevel"/>
    <w:tmpl w:val="4F748828"/>
    <w:lvl w:ilvl="0" w:tplc="B1E654C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E931DC"/>
    <w:multiLevelType w:val="hybridMultilevel"/>
    <w:tmpl w:val="F0DCBE70"/>
    <w:lvl w:ilvl="0" w:tplc="7BC47E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B5C388A"/>
    <w:multiLevelType w:val="hybridMultilevel"/>
    <w:tmpl w:val="DD16513C"/>
    <w:lvl w:ilvl="0" w:tplc="C9E4B0D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16"/>
  </w:num>
  <w:num w:numId="5">
    <w:abstractNumId w:val="14"/>
  </w:num>
  <w:num w:numId="6">
    <w:abstractNumId w:val="24"/>
  </w:num>
  <w:num w:numId="7">
    <w:abstractNumId w:val="35"/>
  </w:num>
  <w:num w:numId="8">
    <w:abstractNumId w:val="19"/>
  </w:num>
  <w:num w:numId="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0"/>
  </w:num>
  <w:num w:numId="12">
    <w:abstractNumId w:val="20"/>
  </w:num>
  <w:num w:numId="13">
    <w:abstractNumId w:val="18"/>
  </w:num>
  <w:num w:numId="14">
    <w:abstractNumId w:val="3"/>
  </w:num>
  <w:num w:numId="15">
    <w:abstractNumId w:val="9"/>
  </w:num>
  <w:num w:numId="16">
    <w:abstractNumId w:val="6"/>
  </w:num>
  <w:num w:numId="17">
    <w:abstractNumId w:val="27"/>
  </w:num>
  <w:num w:numId="18">
    <w:abstractNumId w:val="31"/>
  </w:num>
  <w:num w:numId="19">
    <w:abstractNumId w:val="29"/>
  </w:num>
  <w:num w:numId="20">
    <w:abstractNumId w:val="13"/>
  </w:num>
  <w:num w:numId="21">
    <w:abstractNumId w:val="36"/>
  </w:num>
  <w:num w:numId="22">
    <w:abstractNumId w:val="33"/>
  </w:num>
  <w:num w:numId="23">
    <w:abstractNumId w:val="21"/>
  </w:num>
  <w:num w:numId="24">
    <w:abstractNumId w:val="8"/>
  </w:num>
  <w:num w:numId="25">
    <w:abstractNumId w:val="12"/>
  </w:num>
  <w:num w:numId="26">
    <w:abstractNumId w:val="11"/>
  </w:num>
  <w:num w:numId="27">
    <w:abstractNumId w:val="32"/>
  </w:num>
  <w:num w:numId="28">
    <w:abstractNumId w:val="22"/>
  </w:num>
  <w:num w:numId="29">
    <w:abstractNumId w:val="2"/>
  </w:num>
  <w:num w:numId="30">
    <w:abstractNumId w:val="0"/>
  </w:num>
  <w:num w:numId="31">
    <w:abstractNumId w:val="30"/>
  </w:num>
  <w:num w:numId="32">
    <w:abstractNumId w:val="37"/>
  </w:num>
  <w:num w:numId="33">
    <w:abstractNumId w:val="34"/>
  </w:num>
  <w:num w:numId="34">
    <w:abstractNumId w:val="26"/>
  </w:num>
  <w:num w:numId="35">
    <w:abstractNumId w:val="15"/>
  </w:num>
  <w:num w:numId="36">
    <w:abstractNumId w:val="7"/>
  </w:num>
  <w:num w:numId="37">
    <w:abstractNumId w:val="1"/>
  </w:num>
  <w:num w:numId="38">
    <w:abstractNumId w:val="17"/>
  </w:num>
  <w:num w:numId="39">
    <w:abstractNumId w:val="2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45"/>
    <w:rsid w:val="000012C8"/>
    <w:rsid w:val="00023838"/>
    <w:rsid w:val="0003474F"/>
    <w:rsid w:val="00036487"/>
    <w:rsid w:val="0004394C"/>
    <w:rsid w:val="00056275"/>
    <w:rsid w:val="00070672"/>
    <w:rsid w:val="000813BD"/>
    <w:rsid w:val="000820F2"/>
    <w:rsid w:val="00090870"/>
    <w:rsid w:val="000B7BC1"/>
    <w:rsid w:val="000C1C1C"/>
    <w:rsid w:val="000D2172"/>
    <w:rsid w:val="000D2732"/>
    <w:rsid w:val="000F59E5"/>
    <w:rsid w:val="00100A19"/>
    <w:rsid w:val="001073EA"/>
    <w:rsid w:val="00114A1D"/>
    <w:rsid w:val="00136D26"/>
    <w:rsid w:val="00153AD6"/>
    <w:rsid w:val="00162015"/>
    <w:rsid w:val="00166697"/>
    <w:rsid w:val="001678BC"/>
    <w:rsid w:val="001748FD"/>
    <w:rsid w:val="00183E08"/>
    <w:rsid w:val="00191085"/>
    <w:rsid w:val="001A4D36"/>
    <w:rsid w:val="001A5DA5"/>
    <w:rsid w:val="001B30F0"/>
    <w:rsid w:val="001B64E3"/>
    <w:rsid w:val="001D58BC"/>
    <w:rsid w:val="0022626E"/>
    <w:rsid w:val="002318F3"/>
    <w:rsid w:val="002371F8"/>
    <w:rsid w:val="0024798C"/>
    <w:rsid w:val="0026627B"/>
    <w:rsid w:val="00267A29"/>
    <w:rsid w:val="002729E7"/>
    <w:rsid w:val="00273695"/>
    <w:rsid w:val="002747E3"/>
    <w:rsid w:val="0028611F"/>
    <w:rsid w:val="00290142"/>
    <w:rsid w:val="00296447"/>
    <w:rsid w:val="002A64F4"/>
    <w:rsid w:val="002C51E6"/>
    <w:rsid w:val="002D37C7"/>
    <w:rsid w:val="002D3B0B"/>
    <w:rsid w:val="002D5C7A"/>
    <w:rsid w:val="002D7EB9"/>
    <w:rsid w:val="00303183"/>
    <w:rsid w:val="003032AC"/>
    <w:rsid w:val="00303CE0"/>
    <w:rsid w:val="00311C3C"/>
    <w:rsid w:val="0031474B"/>
    <w:rsid w:val="0034123A"/>
    <w:rsid w:val="00352AD2"/>
    <w:rsid w:val="00354AB8"/>
    <w:rsid w:val="00360214"/>
    <w:rsid w:val="00363BB3"/>
    <w:rsid w:val="00370A42"/>
    <w:rsid w:val="00370D2B"/>
    <w:rsid w:val="00371B31"/>
    <w:rsid w:val="0037309D"/>
    <w:rsid w:val="00381135"/>
    <w:rsid w:val="00381566"/>
    <w:rsid w:val="003A2A90"/>
    <w:rsid w:val="003B1B9D"/>
    <w:rsid w:val="003B692C"/>
    <w:rsid w:val="003C0C39"/>
    <w:rsid w:val="003E032B"/>
    <w:rsid w:val="003E15DC"/>
    <w:rsid w:val="003F6E05"/>
    <w:rsid w:val="00410646"/>
    <w:rsid w:val="00412301"/>
    <w:rsid w:val="00422C70"/>
    <w:rsid w:val="00434223"/>
    <w:rsid w:val="00441506"/>
    <w:rsid w:val="004570A4"/>
    <w:rsid w:val="00464DEE"/>
    <w:rsid w:val="00471306"/>
    <w:rsid w:val="00477494"/>
    <w:rsid w:val="004874D9"/>
    <w:rsid w:val="00494D53"/>
    <w:rsid w:val="00497607"/>
    <w:rsid w:val="004A05CE"/>
    <w:rsid w:val="004B00A2"/>
    <w:rsid w:val="004B14DF"/>
    <w:rsid w:val="004B1B79"/>
    <w:rsid w:val="004B4F7C"/>
    <w:rsid w:val="004E7C1D"/>
    <w:rsid w:val="0050230C"/>
    <w:rsid w:val="005044BE"/>
    <w:rsid w:val="00506E8D"/>
    <w:rsid w:val="00507FF8"/>
    <w:rsid w:val="0051075F"/>
    <w:rsid w:val="00516BE9"/>
    <w:rsid w:val="00520171"/>
    <w:rsid w:val="005324BB"/>
    <w:rsid w:val="005346FB"/>
    <w:rsid w:val="00534B35"/>
    <w:rsid w:val="00537E79"/>
    <w:rsid w:val="00564D4F"/>
    <w:rsid w:val="00565DA7"/>
    <w:rsid w:val="00581B49"/>
    <w:rsid w:val="00595400"/>
    <w:rsid w:val="00596340"/>
    <w:rsid w:val="005A3491"/>
    <w:rsid w:val="005B51C6"/>
    <w:rsid w:val="005E1D1D"/>
    <w:rsid w:val="005E7D29"/>
    <w:rsid w:val="005F7693"/>
    <w:rsid w:val="00606E54"/>
    <w:rsid w:val="006072E5"/>
    <w:rsid w:val="00607601"/>
    <w:rsid w:val="00617E6B"/>
    <w:rsid w:val="0063180E"/>
    <w:rsid w:val="00634468"/>
    <w:rsid w:val="0065040F"/>
    <w:rsid w:val="006549D8"/>
    <w:rsid w:val="006634D1"/>
    <w:rsid w:val="0066361F"/>
    <w:rsid w:val="006720A4"/>
    <w:rsid w:val="00686D4F"/>
    <w:rsid w:val="006918E7"/>
    <w:rsid w:val="00696D52"/>
    <w:rsid w:val="006C33AF"/>
    <w:rsid w:val="006D4B9F"/>
    <w:rsid w:val="006E2DB1"/>
    <w:rsid w:val="006E4CC1"/>
    <w:rsid w:val="006E681D"/>
    <w:rsid w:val="00705912"/>
    <w:rsid w:val="00715B52"/>
    <w:rsid w:val="00725C8A"/>
    <w:rsid w:val="0072741C"/>
    <w:rsid w:val="00735573"/>
    <w:rsid w:val="007654A5"/>
    <w:rsid w:val="00771806"/>
    <w:rsid w:val="00797B05"/>
    <w:rsid w:val="007B5A7B"/>
    <w:rsid w:val="007E109F"/>
    <w:rsid w:val="007E1DE7"/>
    <w:rsid w:val="007F1D67"/>
    <w:rsid w:val="007F2317"/>
    <w:rsid w:val="007F2E42"/>
    <w:rsid w:val="007F53C0"/>
    <w:rsid w:val="007F7674"/>
    <w:rsid w:val="00820EFC"/>
    <w:rsid w:val="00824D39"/>
    <w:rsid w:val="00825737"/>
    <w:rsid w:val="00826D61"/>
    <w:rsid w:val="0082711F"/>
    <w:rsid w:val="008477B4"/>
    <w:rsid w:val="008533C1"/>
    <w:rsid w:val="00864BEE"/>
    <w:rsid w:val="00874EF2"/>
    <w:rsid w:val="008821BC"/>
    <w:rsid w:val="008A209C"/>
    <w:rsid w:val="008A3683"/>
    <w:rsid w:val="008B4416"/>
    <w:rsid w:val="008C1372"/>
    <w:rsid w:val="008D0E31"/>
    <w:rsid w:val="008F0487"/>
    <w:rsid w:val="009011EC"/>
    <w:rsid w:val="0093550C"/>
    <w:rsid w:val="00941025"/>
    <w:rsid w:val="00943E64"/>
    <w:rsid w:val="00960D0B"/>
    <w:rsid w:val="00967B96"/>
    <w:rsid w:val="00967E73"/>
    <w:rsid w:val="0098306D"/>
    <w:rsid w:val="00997D55"/>
    <w:rsid w:val="009A3779"/>
    <w:rsid w:val="009A4EE3"/>
    <w:rsid w:val="009A5844"/>
    <w:rsid w:val="009A684E"/>
    <w:rsid w:val="009C7E13"/>
    <w:rsid w:val="00A24DF3"/>
    <w:rsid w:val="00A5343F"/>
    <w:rsid w:val="00A53B4A"/>
    <w:rsid w:val="00A60A4F"/>
    <w:rsid w:val="00A654BB"/>
    <w:rsid w:val="00A9665C"/>
    <w:rsid w:val="00AA3269"/>
    <w:rsid w:val="00AA47DD"/>
    <w:rsid w:val="00AB6628"/>
    <w:rsid w:val="00AB7A9F"/>
    <w:rsid w:val="00AC35A0"/>
    <w:rsid w:val="00AC39BC"/>
    <w:rsid w:val="00AD10B4"/>
    <w:rsid w:val="00AD4352"/>
    <w:rsid w:val="00AE4C18"/>
    <w:rsid w:val="00B0507D"/>
    <w:rsid w:val="00B076E6"/>
    <w:rsid w:val="00B13B7E"/>
    <w:rsid w:val="00B17745"/>
    <w:rsid w:val="00B21D20"/>
    <w:rsid w:val="00B2520D"/>
    <w:rsid w:val="00B409D4"/>
    <w:rsid w:val="00B52D0B"/>
    <w:rsid w:val="00B6353C"/>
    <w:rsid w:val="00B72FD3"/>
    <w:rsid w:val="00B809AB"/>
    <w:rsid w:val="00B846D3"/>
    <w:rsid w:val="00B867C3"/>
    <w:rsid w:val="00B86E87"/>
    <w:rsid w:val="00B96B7D"/>
    <w:rsid w:val="00BA20E3"/>
    <w:rsid w:val="00BA24BE"/>
    <w:rsid w:val="00BB1581"/>
    <w:rsid w:val="00BB22B6"/>
    <w:rsid w:val="00BC10FE"/>
    <w:rsid w:val="00BC1557"/>
    <w:rsid w:val="00BD0BE8"/>
    <w:rsid w:val="00BE0350"/>
    <w:rsid w:val="00BE0975"/>
    <w:rsid w:val="00C02FF7"/>
    <w:rsid w:val="00C05F2C"/>
    <w:rsid w:val="00C225A9"/>
    <w:rsid w:val="00C239A6"/>
    <w:rsid w:val="00C272B8"/>
    <w:rsid w:val="00C30EE5"/>
    <w:rsid w:val="00C35122"/>
    <w:rsid w:val="00C375B2"/>
    <w:rsid w:val="00C471AB"/>
    <w:rsid w:val="00C64E5E"/>
    <w:rsid w:val="00C72811"/>
    <w:rsid w:val="00C87E43"/>
    <w:rsid w:val="00C9523D"/>
    <w:rsid w:val="00CA25D2"/>
    <w:rsid w:val="00CC2E6F"/>
    <w:rsid w:val="00CC6D3F"/>
    <w:rsid w:val="00CE00F6"/>
    <w:rsid w:val="00CF4B79"/>
    <w:rsid w:val="00D04415"/>
    <w:rsid w:val="00D269BE"/>
    <w:rsid w:val="00D42224"/>
    <w:rsid w:val="00D4491B"/>
    <w:rsid w:val="00D60B02"/>
    <w:rsid w:val="00D6408C"/>
    <w:rsid w:val="00D738DC"/>
    <w:rsid w:val="00D806DD"/>
    <w:rsid w:val="00D848B7"/>
    <w:rsid w:val="00DA2ACE"/>
    <w:rsid w:val="00DB0663"/>
    <w:rsid w:val="00DC0F65"/>
    <w:rsid w:val="00DF38CF"/>
    <w:rsid w:val="00DF7345"/>
    <w:rsid w:val="00E0035E"/>
    <w:rsid w:val="00E06C00"/>
    <w:rsid w:val="00E10EDD"/>
    <w:rsid w:val="00E34C0B"/>
    <w:rsid w:val="00E61215"/>
    <w:rsid w:val="00E61846"/>
    <w:rsid w:val="00E67880"/>
    <w:rsid w:val="00E75CE6"/>
    <w:rsid w:val="00E831D0"/>
    <w:rsid w:val="00EA02BC"/>
    <w:rsid w:val="00EA6739"/>
    <w:rsid w:val="00EC2AB5"/>
    <w:rsid w:val="00ED4071"/>
    <w:rsid w:val="00EE6980"/>
    <w:rsid w:val="00F12C1A"/>
    <w:rsid w:val="00F16B22"/>
    <w:rsid w:val="00F17EA9"/>
    <w:rsid w:val="00F23A18"/>
    <w:rsid w:val="00F37434"/>
    <w:rsid w:val="00F44324"/>
    <w:rsid w:val="00F60139"/>
    <w:rsid w:val="00F721A7"/>
    <w:rsid w:val="00F73886"/>
    <w:rsid w:val="00F9010E"/>
    <w:rsid w:val="00F96A22"/>
    <w:rsid w:val="00FA4D80"/>
    <w:rsid w:val="00FB429D"/>
    <w:rsid w:val="00FC5200"/>
    <w:rsid w:val="00FE55CF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iPriority w:val="99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  <w:style w:type="character" w:customStyle="1" w:styleId="CharStyle16">
    <w:name w:val="Char Style 16"/>
    <w:uiPriority w:val="99"/>
    <w:rsid w:val="005346FB"/>
    <w:rPr>
      <w:rFonts w:ascii="Arial" w:hAnsi="Arial" w:cs="Arial"/>
      <w:sz w:val="13"/>
      <w:szCs w:val="13"/>
      <w:u w:val="none"/>
    </w:rPr>
  </w:style>
  <w:style w:type="character" w:customStyle="1" w:styleId="CharStyle3">
    <w:name w:val="Char Style 3"/>
    <w:link w:val="Style2"/>
    <w:uiPriority w:val="99"/>
    <w:locked/>
    <w:rsid w:val="005346FB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5346FB"/>
    <w:pPr>
      <w:widowControl w:val="0"/>
      <w:shd w:val="clear" w:color="auto" w:fill="FFFFFF"/>
      <w:spacing w:after="120" w:line="240" w:lineRule="atLeast"/>
      <w:ind w:hanging="1140"/>
      <w:jc w:val="both"/>
    </w:pPr>
    <w:rPr>
      <w:rFonts w:ascii="Arial" w:eastAsia="Calibri" w:hAnsi="Arial" w:cs="Arial"/>
      <w:b/>
      <w:bCs/>
      <w:sz w:val="18"/>
      <w:szCs w:val="18"/>
    </w:rPr>
  </w:style>
  <w:style w:type="character" w:customStyle="1" w:styleId="CharStyle15">
    <w:name w:val="Char Style 15"/>
    <w:uiPriority w:val="99"/>
    <w:rsid w:val="005346FB"/>
    <w:rPr>
      <w:rFonts w:ascii="Arial" w:hAnsi="Arial" w:cs="Arial"/>
      <w:b w:val="0"/>
      <w:bCs w:val="0"/>
      <w:sz w:val="15"/>
      <w:szCs w:val="1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5F769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E55CF"/>
    <w:pPr>
      <w:ind w:left="720"/>
      <w:contextualSpacing/>
    </w:pPr>
  </w:style>
  <w:style w:type="paragraph" w:customStyle="1" w:styleId="Default">
    <w:name w:val="Default"/>
    <w:rsid w:val="009A3779"/>
    <w:pPr>
      <w:autoSpaceDE w:val="0"/>
      <w:autoSpaceDN w:val="0"/>
      <w:adjustRightInd w:val="0"/>
      <w:ind w:firstLine="360"/>
    </w:pPr>
    <w:rPr>
      <w:rFonts w:eastAsia="Times New Roman" w:cs="Calibri"/>
      <w:color w:val="000000"/>
      <w:sz w:val="24"/>
      <w:szCs w:val="24"/>
    </w:rPr>
  </w:style>
  <w:style w:type="character" w:customStyle="1" w:styleId="BodyTextChar">
    <w:name w:val="Body Text Char"/>
    <w:aliases w:val="bt Char,b Char,Tekst podstawowy Znak Znak Znak Znak Znak Znak Znak Znak Char,block style Char,aga Char,Tekst podstawowyG Char,szaro Char,wypunktowanie Char,Tekst podstawowy-bold Char,numerowany Char,b1 Char,(F2) Char,anita1 Char"/>
    <w:uiPriority w:val="99"/>
    <w:locked/>
    <w:rsid w:val="009A3779"/>
    <w:rPr>
      <w:b/>
      <w:sz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A3779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locked/>
    <w:rsid w:val="00B72FD3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9A3779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967E7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67E73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67E7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7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67E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67E73"/>
    <w:rPr>
      <w:rFonts w:ascii="Segoe UI" w:eastAsia="Calibr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967E73"/>
    <w:rPr>
      <w:rFonts w:ascii="Segoe UI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iPriority w:val="99"/>
    <w:rsid w:val="009011EC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9011EC"/>
    <w:rPr>
      <w:rFonts w:ascii="Arial" w:eastAsia="Times New Roman" w:hAnsi="Arial" w:cs="Tahoma"/>
      <w:sz w:val="16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9011EC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011E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3695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F7693"/>
    <w:rPr>
      <w:rFonts w:ascii="Cambria" w:eastAsia="Times New Roman" w:hAnsi="Cambria"/>
      <w:b/>
      <w:bCs/>
      <w:color w:val="365F91"/>
      <w:sz w:val="24"/>
      <w:szCs w:val="24"/>
    </w:rPr>
  </w:style>
  <w:style w:type="character" w:customStyle="1" w:styleId="CharStyle16">
    <w:name w:val="Char Style 16"/>
    <w:uiPriority w:val="99"/>
    <w:rsid w:val="005346FB"/>
    <w:rPr>
      <w:rFonts w:ascii="Arial" w:hAnsi="Arial" w:cs="Arial"/>
      <w:sz w:val="13"/>
      <w:szCs w:val="13"/>
      <w:u w:val="none"/>
    </w:rPr>
  </w:style>
  <w:style w:type="character" w:customStyle="1" w:styleId="CharStyle3">
    <w:name w:val="Char Style 3"/>
    <w:link w:val="Style2"/>
    <w:uiPriority w:val="99"/>
    <w:locked/>
    <w:rsid w:val="005346FB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5346FB"/>
    <w:pPr>
      <w:widowControl w:val="0"/>
      <w:shd w:val="clear" w:color="auto" w:fill="FFFFFF"/>
      <w:spacing w:after="120" w:line="240" w:lineRule="atLeast"/>
      <w:ind w:hanging="1140"/>
      <w:jc w:val="both"/>
    </w:pPr>
    <w:rPr>
      <w:rFonts w:ascii="Arial" w:eastAsia="Calibri" w:hAnsi="Arial" w:cs="Arial"/>
      <w:b/>
      <w:bCs/>
      <w:sz w:val="18"/>
      <w:szCs w:val="18"/>
    </w:rPr>
  </w:style>
  <w:style w:type="character" w:customStyle="1" w:styleId="CharStyle15">
    <w:name w:val="Char Style 15"/>
    <w:uiPriority w:val="99"/>
    <w:rsid w:val="005346FB"/>
    <w:rPr>
      <w:rFonts w:ascii="Arial" w:hAnsi="Arial" w:cs="Arial"/>
      <w:b w:val="0"/>
      <w:bCs w:val="0"/>
      <w:sz w:val="15"/>
      <w:szCs w:val="1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5030</Words>
  <Characters>30181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12</cp:revision>
  <cp:lastPrinted>2017-02-27T11:46:00Z</cp:lastPrinted>
  <dcterms:created xsi:type="dcterms:W3CDTF">2018-04-13T10:46:00Z</dcterms:created>
  <dcterms:modified xsi:type="dcterms:W3CDTF">2018-04-25T10:08:00Z</dcterms:modified>
</cp:coreProperties>
</file>